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Naziv županije: VUKOVARSKO–SRIJEMSKA ŽUPANIJA</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Naziv škole: OSNOVNA ŠKOLA “FRANJO HANAMAN“</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Sjedište i adresa: DRENOVCI,  ISTREV 2</w:t>
      </w:r>
    </w:p>
    <w:p w:rsidR="009C6041" w:rsidRPr="009C6041" w:rsidRDefault="00D268FC"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KLASA: 400-04</w:t>
      </w:r>
      <w:r w:rsidR="0031256B">
        <w:rPr>
          <w:rFonts w:ascii="Times New Roman" w:eastAsia="Times New Roman" w:hAnsi="Times New Roman" w:cs="Times New Roman"/>
          <w:bCs/>
          <w:sz w:val="24"/>
          <w:szCs w:val="24"/>
          <w:lang w:eastAsia="hr-HR"/>
        </w:rPr>
        <w:t>/25</w:t>
      </w:r>
      <w:r>
        <w:rPr>
          <w:rFonts w:ascii="Times New Roman" w:eastAsia="Times New Roman" w:hAnsi="Times New Roman" w:cs="Times New Roman"/>
          <w:bCs/>
          <w:sz w:val="24"/>
          <w:szCs w:val="24"/>
          <w:lang w:eastAsia="hr-HR"/>
        </w:rPr>
        <w:t>-01/3</w:t>
      </w:r>
      <w:r w:rsidR="009C6041" w:rsidRPr="009C6041">
        <w:rPr>
          <w:rFonts w:ascii="Times New Roman" w:eastAsia="Times New Roman" w:hAnsi="Times New Roman" w:cs="Times New Roman"/>
          <w:bCs/>
          <w:sz w:val="24"/>
          <w:szCs w:val="24"/>
          <w:lang w:eastAsia="hr-HR"/>
        </w:rPr>
        <w:t xml:space="preserve">       </w:t>
      </w:r>
    </w:p>
    <w:p w:rsidR="009C6041" w:rsidRDefault="0031256B"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UR BROJ : 2196-68-25</w:t>
      </w:r>
      <w:r w:rsidR="009C6041" w:rsidRPr="009C6041">
        <w:rPr>
          <w:rFonts w:ascii="Times New Roman" w:eastAsia="Times New Roman" w:hAnsi="Times New Roman" w:cs="Times New Roman"/>
          <w:bCs/>
          <w:sz w:val="24"/>
          <w:szCs w:val="24"/>
          <w:lang w:eastAsia="hr-HR"/>
        </w:rPr>
        <w:t xml:space="preserve">-01 </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Broj RKDP: 10292                                                                      Razina: 31</w:t>
      </w:r>
    </w:p>
    <w:p w:rsidR="009C6041" w:rsidRP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Matični broj škole: 03307883                                                    Šifra djelatnosti: 8520</w:t>
      </w:r>
    </w:p>
    <w:p w:rsid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r w:rsidRPr="009C6041">
        <w:rPr>
          <w:rFonts w:ascii="Times New Roman" w:eastAsia="Times New Roman" w:hAnsi="Times New Roman" w:cs="Times New Roman"/>
          <w:bCs/>
          <w:sz w:val="24"/>
          <w:szCs w:val="24"/>
          <w:lang w:eastAsia="hr-HR"/>
        </w:rPr>
        <w:t>OIB škole: 97644096978                                                           Razdjel: 000</w:t>
      </w:r>
    </w:p>
    <w:p w:rsidR="009C6041" w:rsidRDefault="009C6041" w:rsidP="009C6041">
      <w:pPr>
        <w:spacing w:before="100" w:beforeAutospacing="1" w:after="100" w:afterAutospacing="1" w:line="360" w:lineRule="auto"/>
        <w:jc w:val="both"/>
        <w:outlineLvl w:val="1"/>
        <w:rPr>
          <w:rFonts w:ascii="Times New Roman" w:eastAsia="Times New Roman" w:hAnsi="Times New Roman" w:cs="Times New Roman"/>
          <w:bCs/>
          <w:sz w:val="24"/>
          <w:szCs w:val="24"/>
          <w:lang w:eastAsia="hr-HR"/>
        </w:rPr>
      </w:pPr>
    </w:p>
    <w:p w:rsidR="009C6041" w:rsidRDefault="009C6041" w:rsidP="009C6041">
      <w:pPr>
        <w:spacing w:before="100" w:beforeAutospacing="1" w:after="100" w:afterAutospacing="1"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OBRAZLOŽENJE I</w:t>
      </w:r>
      <w:r w:rsidRPr="009C6041">
        <w:rPr>
          <w:rFonts w:ascii="Times New Roman" w:hAnsi="Times New Roman" w:cs="Times New Roman"/>
          <w:b/>
          <w:sz w:val="28"/>
          <w:szCs w:val="28"/>
        </w:rPr>
        <w:t xml:space="preserve">. IZMJENA I DOPUNA FINANCIJSKOG PLANA OSNOVNE ŠKOLE </w:t>
      </w:r>
      <w:r>
        <w:rPr>
          <w:rFonts w:ascii="Times New Roman" w:hAnsi="Times New Roman" w:cs="Times New Roman"/>
          <w:b/>
          <w:sz w:val="28"/>
          <w:szCs w:val="28"/>
        </w:rPr>
        <w:t>FRANJO HANAMAN DRENOVCI ZA 2025</w:t>
      </w:r>
      <w:r w:rsidRPr="009C6041">
        <w:rPr>
          <w:rFonts w:ascii="Times New Roman" w:hAnsi="Times New Roman" w:cs="Times New Roman"/>
          <w:b/>
          <w:sz w:val="28"/>
          <w:szCs w:val="28"/>
        </w:rPr>
        <w:t>. GODINU</w:t>
      </w:r>
    </w:p>
    <w:p w:rsidR="009C6041" w:rsidRPr="009C6041" w:rsidRDefault="009C6041" w:rsidP="009C6041">
      <w:pPr>
        <w:spacing w:before="100" w:beforeAutospacing="1" w:after="100" w:afterAutospacing="1" w:line="360" w:lineRule="auto"/>
        <w:jc w:val="center"/>
        <w:outlineLvl w:val="1"/>
        <w:rPr>
          <w:rFonts w:ascii="Times New Roman" w:eastAsia="Times New Roman" w:hAnsi="Times New Roman" w:cs="Times New Roman"/>
          <w:b/>
          <w:bCs/>
          <w:sz w:val="28"/>
          <w:szCs w:val="28"/>
          <w:lang w:eastAsia="hr-HR"/>
        </w:rPr>
      </w:pPr>
    </w:p>
    <w:p w:rsidR="009C6041" w:rsidRPr="009C6041" w:rsidRDefault="007C5261" w:rsidP="009C604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1. Uvod i svrha dokumenta</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Ovo obrazloženje rebalansa Financijskog plana Osnovne škole „Franjo </w:t>
      </w:r>
      <w:proofErr w:type="spellStart"/>
      <w:r w:rsidRPr="007C5261">
        <w:rPr>
          <w:rFonts w:ascii="Times New Roman" w:eastAsia="Times New Roman" w:hAnsi="Times New Roman" w:cs="Times New Roman"/>
          <w:sz w:val="24"/>
          <w:szCs w:val="24"/>
          <w:lang w:eastAsia="hr-HR"/>
        </w:rPr>
        <w:t>Hanaman</w:t>
      </w:r>
      <w:proofErr w:type="spellEnd"/>
      <w:r w:rsidRPr="007C5261">
        <w:rPr>
          <w:rFonts w:ascii="Times New Roman" w:eastAsia="Times New Roman" w:hAnsi="Times New Roman" w:cs="Times New Roman"/>
          <w:sz w:val="24"/>
          <w:szCs w:val="24"/>
          <w:lang w:eastAsia="hr-HR"/>
        </w:rPr>
        <w:t xml:space="preserve">“ </w:t>
      </w:r>
      <w:proofErr w:type="spellStart"/>
      <w:r w:rsidRPr="007C5261">
        <w:rPr>
          <w:rFonts w:ascii="Times New Roman" w:eastAsia="Times New Roman" w:hAnsi="Times New Roman" w:cs="Times New Roman"/>
          <w:sz w:val="24"/>
          <w:szCs w:val="24"/>
          <w:lang w:eastAsia="hr-HR"/>
        </w:rPr>
        <w:t>Drenovci</w:t>
      </w:r>
      <w:proofErr w:type="spellEnd"/>
      <w:r w:rsidRPr="007C5261">
        <w:rPr>
          <w:rFonts w:ascii="Times New Roman" w:eastAsia="Times New Roman" w:hAnsi="Times New Roman" w:cs="Times New Roman"/>
          <w:sz w:val="24"/>
          <w:szCs w:val="24"/>
          <w:lang w:eastAsia="hr-HR"/>
        </w:rPr>
        <w:t xml:space="preserve"> za 2025. godinu izrađeno je s ciljem detaljnog i transparentnog predstavljanja razloga i učinaka izvršenih korekcija u odnosu na prvotni godišnji plan. Dokument obuhvaća obrazloženja svih značajnih promjena prihoda i rashoda, pojašnjenja izvora financiranja, analizu utjecaja programa (posebice eksperimentalnog programa Cjelodnevna škola – CDŠ) te račun financiranja i zaključnu procjenu fiskalne održivosti.</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Osnova za sastavljanje ovog obrazloženja su: prvi Financijski plan za 2025. i priložene projekcije za 2026. i 2027. godinu, evidencije izvršenja prihoda i rashoda do dana izrade </w:t>
      </w:r>
      <w:r w:rsidRPr="007C5261">
        <w:rPr>
          <w:rFonts w:ascii="Times New Roman" w:eastAsia="Times New Roman" w:hAnsi="Times New Roman" w:cs="Times New Roman"/>
          <w:sz w:val="24"/>
          <w:szCs w:val="24"/>
          <w:lang w:eastAsia="hr-HR"/>
        </w:rPr>
        <w:lastRenderedPageBreak/>
        <w:t>rebalansa, zaprimljene odluke i upute nadležnih</w:t>
      </w:r>
      <w:r w:rsidR="00FC3D2C">
        <w:rPr>
          <w:rFonts w:ascii="Times New Roman" w:eastAsia="Times New Roman" w:hAnsi="Times New Roman" w:cs="Times New Roman"/>
          <w:sz w:val="24"/>
          <w:szCs w:val="24"/>
          <w:lang w:eastAsia="hr-HR"/>
        </w:rPr>
        <w:t xml:space="preserve"> tijela (Ministarstvo znanosti,</w:t>
      </w:r>
      <w:r w:rsidRPr="007C5261">
        <w:rPr>
          <w:rFonts w:ascii="Times New Roman" w:eastAsia="Times New Roman" w:hAnsi="Times New Roman" w:cs="Times New Roman"/>
          <w:sz w:val="24"/>
          <w:szCs w:val="24"/>
          <w:lang w:eastAsia="hr-HR"/>
        </w:rPr>
        <w:t xml:space="preserve"> obrazovanja</w:t>
      </w:r>
      <w:r w:rsidR="00FC3D2C">
        <w:rPr>
          <w:rFonts w:ascii="Times New Roman" w:eastAsia="Times New Roman" w:hAnsi="Times New Roman" w:cs="Times New Roman"/>
          <w:sz w:val="24"/>
          <w:szCs w:val="24"/>
          <w:lang w:eastAsia="hr-HR"/>
        </w:rPr>
        <w:t xml:space="preserve"> i mladih</w:t>
      </w:r>
      <w:r w:rsidRPr="007C5261">
        <w:rPr>
          <w:rFonts w:ascii="Times New Roman" w:eastAsia="Times New Roman" w:hAnsi="Times New Roman" w:cs="Times New Roman"/>
          <w:sz w:val="24"/>
          <w:szCs w:val="24"/>
          <w:lang w:eastAsia="hr-HR"/>
        </w:rPr>
        <w:t xml:space="preserve">, Vukovarsko-srijemska županija, Općina </w:t>
      </w:r>
      <w:proofErr w:type="spellStart"/>
      <w:r w:rsidRPr="007C5261">
        <w:rPr>
          <w:rFonts w:ascii="Times New Roman" w:eastAsia="Times New Roman" w:hAnsi="Times New Roman" w:cs="Times New Roman"/>
          <w:sz w:val="24"/>
          <w:szCs w:val="24"/>
          <w:lang w:eastAsia="hr-HR"/>
        </w:rPr>
        <w:t>Drenovci</w:t>
      </w:r>
      <w:proofErr w:type="spellEnd"/>
      <w:r w:rsidRPr="007C5261">
        <w:rPr>
          <w:rFonts w:ascii="Times New Roman" w:eastAsia="Times New Roman" w:hAnsi="Times New Roman" w:cs="Times New Roman"/>
          <w:sz w:val="24"/>
          <w:szCs w:val="24"/>
          <w:lang w:eastAsia="hr-HR"/>
        </w:rPr>
        <w:t>), te stvarne promjene u obimu i cijeni troškova koji utječu na plan (energenti, prehrana, održavanje, oprema).</w:t>
      </w:r>
    </w:p>
    <w:p w:rsidR="007C5261" w:rsidRPr="007C5261" w:rsidRDefault="007C5261"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2. Sažetak ključnih promjena i razloga za rebalans</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Tijekom prvog i drugog kvartala 2025. godine evidentirane su sljedeće ključne promjene koje su dovele do potrebe za izradom rebalansa:</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Prvo, zaprimljene su korekcije i dodatna sredstva od Ministarstva znanosti i obrazovanja namijenjena provođenju eksperimentalnog programa Cjelodnevna škola. Provedba CDŠ zahtijeva dodatna sredstva za prehranu, </w:t>
      </w:r>
      <w:r w:rsidR="009C6041">
        <w:rPr>
          <w:rFonts w:ascii="Times New Roman" w:eastAsia="Times New Roman" w:hAnsi="Times New Roman" w:cs="Times New Roman"/>
          <w:sz w:val="24"/>
          <w:szCs w:val="24"/>
          <w:lang w:eastAsia="hr-HR"/>
        </w:rPr>
        <w:t xml:space="preserve">cjelodnevni </w:t>
      </w:r>
      <w:r w:rsidRPr="007C5261">
        <w:rPr>
          <w:rFonts w:ascii="Times New Roman" w:eastAsia="Times New Roman" w:hAnsi="Times New Roman" w:cs="Times New Roman"/>
          <w:sz w:val="24"/>
          <w:szCs w:val="24"/>
          <w:lang w:eastAsia="hr-HR"/>
        </w:rPr>
        <w:t>boravak učenika, organizaciju potpomognutog učenja te dodatne materijalne i ljudske resurse.</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Drugo, uočeno je značajno povećanje cijena energenata i opće inflacijske stope u segmentima usluga i robe koje škola nabavlja. Subjektivne procjene i računi dobavljača ukazuju na porast tr</w:t>
      </w:r>
      <w:r w:rsidR="00D268FC">
        <w:rPr>
          <w:rFonts w:ascii="Times New Roman" w:eastAsia="Times New Roman" w:hAnsi="Times New Roman" w:cs="Times New Roman"/>
          <w:sz w:val="24"/>
          <w:szCs w:val="24"/>
          <w:lang w:eastAsia="hr-HR"/>
        </w:rPr>
        <w:t xml:space="preserve">oškova za el. Energiju </w:t>
      </w:r>
      <w:r w:rsidRPr="007C5261">
        <w:rPr>
          <w:rFonts w:ascii="Times New Roman" w:eastAsia="Times New Roman" w:hAnsi="Times New Roman" w:cs="Times New Roman"/>
          <w:sz w:val="24"/>
          <w:szCs w:val="24"/>
          <w:lang w:eastAsia="hr-HR"/>
        </w:rPr>
        <w:t>i ostale usluge kućanstva školske zgrade, što je utjecalo na potrebu povećanja stavki hladnog pogona i održavanja.</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Treće, stvarno izvršenje prihoda od posebnih namjena (prihodi za prehranu, ekskurzije, školska zadruge) pokazalo je odstupanja od početnog plana te je nužno prilagoditi planirane prihode i odgovarajuće rashode.</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Četvrto, u tijeku fiskalne godine evidentirane su izmjene u obvezama prema zaposlenicima (regres, božićnica, jubilarne nagrade, </w:t>
      </w:r>
      <w:r w:rsidR="009C6041">
        <w:rPr>
          <w:rFonts w:ascii="Times New Roman" w:eastAsia="Times New Roman" w:hAnsi="Times New Roman" w:cs="Times New Roman"/>
          <w:sz w:val="24"/>
          <w:szCs w:val="24"/>
          <w:lang w:eastAsia="hr-HR"/>
        </w:rPr>
        <w:t>povećanje osnovice plaće</w:t>
      </w:r>
      <w:r w:rsidRPr="007C5261">
        <w:rPr>
          <w:rFonts w:ascii="Times New Roman" w:eastAsia="Times New Roman" w:hAnsi="Times New Roman" w:cs="Times New Roman"/>
          <w:sz w:val="24"/>
          <w:szCs w:val="24"/>
          <w:lang w:eastAsia="hr-HR"/>
        </w:rPr>
        <w:t>) u skladu s kolektivnim ugovorom i kriterijima raspodjele sredstava, što je rezultiralo potrebom korekcije stavke „rashodi za zaposlene“.</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Sukladno navedenom, rebalansom se pristupa tako da se ostvari ravnoteža prihoda i rashoda, osigura tekuće financiranje ključnih programa (posebice CDŠ), te očuva fiskalna održivost ustanove do kraja godine.</w:t>
      </w:r>
    </w:p>
    <w:p w:rsidR="009C6041" w:rsidRDefault="009C6041" w:rsidP="007C5261">
      <w:pPr>
        <w:spacing w:after="0" w:line="360" w:lineRule="auto"/>
        <w:jc w:val="both"/>
        <w:rPr>
          <w:rFonts w:ascii="Times New Roman" w:eastAsia="Times New Roman" w:hAnsi="Times New Roman" w:cs="Times New Roman"/>
          <w:sz w:val="24"/>
          <w:szCs w:val="24"/>
          <w:lang w:eastAsia="hr-HR"/>
        </w:rPr>
      </w:pPr>
    </w:p>
    <w:p w:rsidR="009C6041" w:rsidRPr="007C5261" w:rsidRDefault="009C6041"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lastRenderedPageBreak/>
        <w:t>3. Pravni okvir i podloge za donošenje rebalansa</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Izrada i donošenje rebalansa temelji se na odredbama Zakona o proračunu, odgovarajućim pravilnicima o proračunskim klasifikacijama i proračunskom računovodstvu, odnosno na svim važećim propisima koji definiraju način izrade, provođenja i izvještavanja o proračunskom planu proračunskih korisnika. Nadalje, obrazloženje se oslanja na sljedeće temeljne dokumente i podloge:</w:t>
      </w:r>
    </w:p>
    <w:p w:rsidR="007C5261" w:rsidRPr="007C5261" w:rsidRDefault="007C5261" w:rsidP="007C52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Zakon o odgoju i obrazovanju u osnovnoj i srednjoj školi;</w:t>
      </w:r>
    </w:p>
    <w:p w:rsidR="007C5261" w:rsidRPr="007C5261" w:rsidRDefault="007C5261" w:rsidP="007C52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Zakon o ustanovama;</w:t>
      </w:r>
    </w:p>
    <w:p w:rsidR="007C5261" w:rsidRPr="007C5261" w:rsidRDefault="007C5261" w:rsidP="007C52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Zakon o proračunu i prateći pravilnici (pravilnik o proračunskim klasifikacijama, pravilnik o proračunskom računovodstvu i računskom planu);</w:t>
      </w:r>
    </w:p>
    <w:p w:rsidR="007C5261" w:rsidRPr="007C5261" w:rsidRDefault="007C5261" w:rsidP="007C52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Godišnji plan i program rada škole, Školski kurikulum i statistički izvještaji o broju učenika i zaposlenih;</w:t>
      </w:r>
    </w:p>
    <w:p w:rsidR="007C5261" w:rsidRPr="007C5261" w:rsidRDefault="007C5261" w:rsidP="007C52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Dostavljeni Financijski plan za 2025. i projekcije za 2026. i 2027. godinu.</w:t>
      </w:r>
    </w:p>
    <w:p w:rsidR="007C5261" w:rsidRPr="007C5261" w:rsidRDefault="007C5261"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t>4. Metodologija izrade rebalansa</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Rebalans je izrađen primjenom sljedeće metodologije: prvo je izvršena analiza </w:t>
      </w:r>
      <w:r w:rsidR="009C6041">
        <w:rPr>
          <w:rFonts w:ascii="Times New Roman" w:eastAsia="Times New Roman" w:hAnsi="Times New Roman" w:cs="Times New Roman"/>
          <w:sz w:val="24"/>
          <w:szCs w:val="24"/>
          <w:lang w:eastAsia="hr-HR"/>
        </w:rPr>
        <w:t xml:space="preserve">ostvarenja </w:t>
      </w:r>
      <w:r w:rsidRPr="007C5261">
        <w:rPr>
          <w:rFonts w:ascii="Times New Roman" w:eastAsia="Times New Roman" w:hAnsi="Times New Roman" w:cs="Times New Roman"/>
          <w:sz w:val="24"/>
          <w:szCs w:val="24"/>
          <w:lang w:eastAsia="hr-HR"/>
        </w:rPr>
        <w:t>prihoda i rashoda do datuma izrade rebalansa (realizacija po stavkama u odnosu na plan). Zatim su identificirane stavke s najvećim odstupanjima (korelacija s poznatim vanjskim utjecajima: rast cijena energenata, izmjene u opsegu CDŠ programa i sl.). Na temelju raspoloživih evidencija i procjena dobavljača, formirane su projekcije očekivanog</w:t>
      </w:r>
      <w:r w:rsidR="009C6041">
        <w:rPr>
          <w:rFonts w:ascii="Times New Roman" w:eastAsia="Times New Roman" w:hAnsi="Times New Roman" w:cs="Times New Roman"/>
          <w:sz w:val="24"/>
          <w:szCs w:val="24"/>
          <w:lang w:eastAsia="hr-HR"/>
        </w:rPr>
        <w:t xml:space="preserve"> ostvarenja</w:t>
      </w:r>
      <w:r w:rsidRPr="007C5261">
        <w:rPr>
          <w:rFonts w:ascii="Times New Roman" w:eastAsia="Times New Roman" w:hAnsi="Times New Roman" w:cs="Times New Roman"/>
          <w:sz w:val="24"/>
          <w:szCs w:val="24"/>
          <w:lang w:eastAsia="hr-HR"/>
        </w:rPr>
        <w:t xml:space="preserve"> za preostali dio godine. </w:t>
      </w:r>
    </w:p>
    <w:p w:rsidR="007C5261" w:rsidRDefault="007C5261" w:rsidP="007C5261">
      <w:pPr>
        <w:spacing w:after="0" w:line="360" w:lineRule="auto"/>
        <w:jc w:val="both"/>
        <w:rPr>
          <w:rFonts w:ascii="Times New Roman" w:eastAsia="Times New Roman" w:hAnsi="Times New Roman" w:cs="Times New Roman"/>
          <w:sz w:val="24"/>
          <w:szCs w:val="24"/>
          <w:lang w:eastAsia="hr-HR"/>
        </w:rPr>
      </w:pPr>
    </w:p>
    <w:p w:rsidR="00FC3D2C" w:rsidRDefault="00FC3D2C" w:rsidP="007C5261">
      <w:pPr>
        <w:spacing w:after="0" w:line="360" w:lineRule="auto"/>
        <w:jc w:val="both"/>
        <w:rPr>
          <w:rFonts w:ascii="Times New Roman" w:eastAsia="Times New Roman" w:hAnsi="Times New Roman" w:cs="Times New Roman"/>
          <w:sz w:val="24"/>
          <w:szCs w:val="24"/>
          <w:lang w:eastAsia="hr-HR"/>
        </w:rPr>
      </w:pPr>
    </w:p>
    <w:p w:rsidR="00FC3D2C" w:rsidRDefault="00FC3D2C" w:rsidP="007C5261">
      <w:pPr>
        <w:spacing w:after="0" w:line="360" w:lineRule="auto"/>
        <w:jc w:val="both"/>
        <w:rPr>
          <w:rFonts w:ascii="Times New Roman" w:eastAsia="Times New Roman" w:hAnsi="Times New Roman" w:cs="Times New Roman"/>
          <w:sz w:val="24"/>
          <w:szCs w:val="24"/>
          <w:lang w:eastAsia="hr-HR"/>
        </w:rPr>
      </w:pPr>
    </w:p>
    <w:p w:rsidR="00FC3D2C" w:rsidRDefault="00FC3D2C" w:rsidP="007C5261">
      <w:pPr>
        <w:spacing w:after="0" w:line="360" w:lineRule="auto"/>
        <w:jc w:val="both"/>
        <w:rPr>
          <w:rFonts w:ascii="Times New Roman" w:eastAsia="Times New Roman" w:hAnsi="Times New Roman" w:cs="Times New Roman"/>
          <w:sz w:val="24"/>
          <w:szCs w:val="24"/>
          <w:lang w:eastAsia="hr-HR"/>
        </w:rPr>
      </w:pPr>
    </w:p>
    <w:p w:rsidR="00FC3D2C" w:rsidRDefault="00FC3D2C" w:rsidP="007C5261">
      <w:pPr>
        <w:spacing w:after="0" w:line="360" w:lineRule="auto"/>
        <w:jc w:val="both"/>
        <w:rPr>
          <w:rFonts w:ascii="Times New Roman" w:eastAsia="Times New Roman" w:hAnsi="Times New Roman" w:cs="Times New Roman"/>
          <w:sz w:val="24"/>
          <w:szCs w:val="24"/>
          <w:lang w:eastAsia="hr-HR"/>
        </w:rPr>
      </w:pPr>
    </w:p>
    <w:p w:rsidR="00FC3D2C" w:rsidRDefault="00FC3D2C" w:rsidP="007C5261">
      <w:pPr>
        <w:spacing w:after="0" w:line="360" w:lineRule="auto"/>
        <w:jc w:val="both"/>
        <w:rPr>
          <w:rFonts w:ascii="Times New Roman" w:eastAsia="Times New Roman" w:hAnsi="Times New Roman" w:cs="Times New Roman"/>
          <w:sz w:val="24"/>
          <w:szCs w:val="24"/>
          <w:lang w:eastAsia="hr-HR"/>
        </w:rPr>
      </w:pPr>
    </w:p>
    <w:p w:rsidR="00FC3D2C" w:rsidRPr="007C5261" w:rsidRDefault="00FC3D2C" w:rsidP="007C5261">
      <w:pPr>
        <w:spacing w:after="0" w:line="360" w:lineRule="auto"/>
        <w:jc w:val="both"/>
        <w:rPr>
          <w:rFonts w:ascii="Times New Roman" w:eastAsia="Times New Roman" w:hAnsi="Times New Roman" w:cs="Times New Roman"/>
          <w:sz w:val="24"/>
          <w:szCs w:val="24"/>
          <w:lang w:eastAsia="hr-HR"/>
        </w:rPr>
      </w:pPr>
    </w:p>
    <w:p w:rsidR="007C5261" w:rsidRPr="009C6041"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9C6041">
        <w:rPr>
          <w:rFonts w:ascii="Times New Roman" w:eastAsia="Times New Roman" w:hAnsi="Times New Roman" w:cs="Times New Roman"/>
          <w:b/>
          <w:bCs/>
          <w:sz w:val="28"/>
          <w:szCs w:val="28"/>
          <w:lang w:eastAsia="hr-HR"/>
        </w:rPr>
        <w:lastRenderedPageBreak/>
        <w:t>5. Detaljno obrazloženj</w:t>
      </w:r>
      <w:r w:rsidR="001C74BF">
        <w:rPr>
          <w:rFonts w:ascii="Times New Roman" w:eastAsia="Times New Roman" w:hAnsi="Times New Roman" w:cs="Times New Roman"/>
          <w:b/>
          <w:bCs/>
          <w:sz w:val="28"/>
          <w:szCs w:val="28"/>
          <w:lang w:eastAsia="hr-HR"/>
        </w:rPr>
        <w:t>e promjena- PRIHODI I RASHODI</w:t>
      </w:r>
    </w:p>
    <w:p w:rsidR="007C5261" w:rsidRPr="009C604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t>5.1 Prihodi iz nadležnog proračuna (Vukovarsko-srijemska županija –671)</w:t>
      </w:r>
    </w:p>
    <w:p w:rsid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Prihodi iz nadležnog proračuna usklađeni su s obzirom na povećane potrebe za financiranjem tekućeg održavanja i energenata, kao i radi osiguranja izvedbe CDŠ programa. </w:t>
      </w:r>
    </w:p>
    <w:p w:rsidR="00D84A4C" w:rsidRDefault="00D84A4C" w:rsidP="00D84A4C">
      <w:pPr>
        <w:pStyle w:val="StandardWeb"/>
        <w:spacing w:line="360" w:lineRule="auto"/>
        <w:jc w:val="both"/>
      </w:pPr>
      <w:r>
        <w:t xml:space="preserve">Na </w:t>
      </w:r>
      <w:r w:rsidRPr="00D84A4C">
        <w:rPr>
          <w:rStyle w:val="Naglaeno"/>
          <w:b w:val="0"/>
        </w:rPr>
        <w:t>izvoru 112 – Prihodi županije</w:t>
      </w:r>
      <w:r>
        <w:t xml:space="preserve"> evidentirano je povećanje prihoda u rebalansu radi podmirenja troškova </w:t>
      </w:r>
      <w:r w:rsidRPr="00D84A4C">
        <w:rPr>
          <w:rStyle w:val="Naglaeno"/>
          <w:b w:val="0"/>
        </w:rPr>
        <w:t>povećanja snage i potrošnje električne energije</w:t>
      </w:r>
      <w:r>
        <w:t xml:space="preserve"> u školi. Vukovarsko-srijemska županija izvršila je korekciju sredstava nakon što je utvrđeno da postojeća priključna snaga električne energije više nije zadovoljavala stvarne potrebe škole, niti je bila dostatna za stabilno funkcioniranje sustava napajanja u uvjetima povećanog opterećenja.</w:t>
      </w:r>
    </w:p>
    <w:p w:rsidR="00D84A4C" w:rsidRDefault="00D84A4C" w:rsidP="00D84A4C">
      <w:pPr>
        <w:pStyle w:val="StandardWeb"/>
        <w:spacing w:line="360" w:lineRule="auto"/>
        <w:jc w:val="both"/>
      </w:pPr>
      <w:r>
        <w:t>Naime, škola je u posljednjih godinu dana značajno povećala potrošnju električne energije zbog:</w:t>
      </w:r>
    </w:p>
    <w:p w:rsidR="00D84A4C" w:rsidRDefault="00D84A4C" w:rsidP="00D84A4C">
      <w:pPr>
        <w:pStyle w:val="StandardWeb"/>
        <w:numPr>
          <w:ilvl w:val="0"/>
          <w:numId w:val="4"/>
        </w:numPr>
        <w:spacing w:line="360" w:lineRule="auto"/>
        <w:jc w:val="both"/>
      </w:pPr>
      <w:r>
        <w:t>uvođenja i provođenja programa Cjelodnevne škole,</w:t>
      </w:r>
    </w:p>
    <w:p w:rsidR="00D84A4C" w:rsidRDefault="00D84A4C" w:rsidP="00D84A4C">
      <w:pPr>
        <w:pStyle w:val="StandardWeb"/>
        <w:numPr>
          <w:ilvl w:val="0"/>
          <w:numId w:val="4"/>
        </w:numPr>
        <w:spacing w:line="360" w:lineRule="auto"/>
        <w:jc w:val="both"/>
      </w:pPr>
      <w:r>
        <w:t>povećanog broja prostorija i opreme u uporabi tijekom cijelog dana,</w:t>
      </w:r>
    </w:p>
    <w:p w:rsidR="00D84A4C" w:rsidRDefault="00D84A4C" w:rsidP="00D84A4C">
      <w:pPr>
        <w:pStyle w:val="StandardWeb"/>
        <w:numPr>
          <w:ilvl w:val="0"/>
          <w:numId w:val="4"/>
        </w:numPr>
        <w:spacing w:line="360" w:lineRule="auto"/>
        <w:jc w:val="both"/>
      </w:pPr>
      <w:r>
        <w:t>rada školske kuhinje u produženom režimu,</w:t>
      </w:r>
    </w:p>
    <w:p w:rsidR="00D84A4C" w:rsidRDefault="00D84A4C" w:rsidP="00D84A4C">
      <w:pPr>
        <w:pStyle w:val="StandardWeb"/>
        <w:numPr>
          <w:ilvl w:val="0"/>
          <w:numId w:val="4"/>
        </w:numPr>
        <w:spacing w:line="360" w:lineRule="auto"/>
        <w:jc w:val="both"/>
      </w:pPr>
      <w:r>
        <w:t>rada informatičke, multimedijske i STEM opreme,</w:t>
      </w:r>
    </w:p>
    <w:p w:rsidR="00D84A4C" w:rsidRDefault="00D84A4C" w:rsidP="00D84A4C">
      <w:pPr>
        <w:pStyle w:val="StandardWeb"/>
        <w:numPr>
          <w:ilvl w:val="0"/>
          <w:numId w:val="4"/>
        </w:numPr>
        <w:spacing w:line="360" w:lineRule="auto"/>
        <w:jc w:val="both"/>
      </w:pPr>
      <w:r>
        <w:t>uključivanja dodatnih uređaja i potrošača uslijed modernizacije nastave.</w:t>
      </w:r>
    </w:p>
    <w:p w:rsidR="00D84A4C" w:rsidRDefault="00D84A4C" w:rsidP="00D84A4C">
      <w:pPr>
        <w:pStyle w:val="StandardWeb"/>
        <w:spacing w:line="360" w:lineRule="auto"/>
        <w:jc w:val="both"/>
      </w:pPr>
      <w:r>
        <w:t xml:space="preserve">Zbog navedenog, postojeća snaga električne energije bila je </w:t>
      </w:r>
      <w:r w:rsidRPr="00D84A4C">
        <w:rPr>
          <w:rStyle w:val="Naglaeno"/>
          <w:b w:val="0"/>
        </w:rPr>
        <w:t>nedovoljna</w:t>
      </w:r>
      <w:r>
        <w:t>, što je rezultiralo povremenim preopterećenjima instalacija, ograničenjima korištenja pojedinih uređaja i potrebo za intervencijama kako bi se osigurala sigurnost i kontinuitet rada.</w:t>
      </w:r>
    </w:p>
    <w:p w:rsidR="00D84A4C" w:rsidRPr="00D84A4C" w:rsidRDefault="00D84A4C" w:rsidP="00D84A4C">
      <w:pPr>
        <w:spacing w:before="100" w:beforeAutospacing="1" w:after="100" w:afterAutospacing="1" w:line="360" w:lineRule="auto"/>
        <w:jc w:val="both"/>
        <w:rPr>
          <w:rFonts w:ascii="Times New Roman" w:eastAsia="Times New Roman" w:hAnsi="Times New Roman" w:cs="Times New Roman"/>
          <w:sz w:val="24"/>
          <w:szCs w:val="24"/>
          <w:lang w:eastAsia="hr-HR"/>
        </w:rPr>
      </w:pPr>
      <w:r w:rsidRPr="00D84A4C">
        <w:rPr>
          <w:rFonts w:ascii="Times New Roman" w:eastAsia="Times New Roman" w:hAnsi="Times New Roman" w:cs="Times New Roman"/>
          <w:sz w:val="24"/>
          <w:szCs w:val="24"/>
          <w:lang w:eastAsia="hr-HR"/>
        </w:rPr>
        <w:t xml:space="preserve">U skladu s dostavljenim iznosima iz nadležnog županijskog upravnog odjela, na izvoru </w:t>
      </w:r>
      <w:r w:rsidRPr="00D84A4C">
        <w:rPr>
          <w:rFonts w:ascii="Times New Roman" w:eastAsia="Times New Roman" w:hAnsi="Times New Roman" w:cs="Times New Roman"/>
          <w:bCs/>
          <w:sz w:val="24"/>
          <w:szCs w:val="24"/>
          <w:lang w:eastAsia="hr-HR"/>
        </w:rPr>
        <w:t>482 – decentralizirana sredstva</w:t>
      </w:r>
      <w:r w:rsidRPr="00D84A4C">
        <w:rPr>
          <w:rFonts w:ascii="Times New Roman" w:eastAsia="Times New Roman" w:hAnsi="Times New Roman" w:cs="Times New Roman"/>
          <w:sz w:val="24"/>
          <w:szCs w:val="24"/>
          <w:lang w:eastAsia="hr-HR"/>
        </w:rPr>
        <w:t xml:space="preserve"> provodi se povećanje ukupnog iznosa za </w:t>
      </w:r>
      <w:r w:rsidRPr="00D84A4C">
        <w:rPr>
          <w:rFonts w:ascii="Times New Roman" w:eastAsia="Times New Roman" w:hAnsi="Times New Roman" w:cs="Times New Roman"/>
          <w:bCs/>
          <w:sz w:val="24"/>
          <w:szCs w:val="24"/>
          <w:lang w:eastAsia="hr-HR"/>
        </w:rPr>
        <w:t>7.407,66 €</w:t>
      </w:r>
      <w:r w:rsidRPr="00D84A4C">
        <w:rPr>
          <w:rFonts w:ascii="Times New Roman" w:eastAsia="Times New Roman" w:hAnsi="Times New Roman" w:cs="Times New Roman"/>
          <w:sz w:val="24"/>
          <w:szCs w:val="24"/>
          <w:lang w:eastAsia="hr-HR"/>
        </w:rPr>
        <w:t>, koje je raspoređeno prema utvrđenim prioritetima i stvarnim potrebama ustanove.</w:t>
      </w:r>
    </w:p>
    <w:p w:rsidR="00D84A4C" w:rsidRPr="00D84A4C" w:rsidRDefault="00D84A4C" w:rsidP="00D84A4C">
      <w:pPr>
        <w:spacing w:before="100" w:beforeAutospacing="1" w:after="100" w:afterAutospacing="1" w:line="360" w:lineRule="auto"/>
        <w:rPr>
          <w:rFonts w:ascii="Times New Roman" w:eastAsia="Times New Roman" w:hAnsi="Times New Roman" w:cs="Times New Roman"/>
          <w:sz w:val="24"/>
          <w:szCs w:val="24"/>
          <w:lang w:eastAsia="hr-HR"/>
        </w:rPr>
      </w:pPr>
      <w:r w:rsidRPr="00D84A4C">
        <w:rPr>
          <w:rFonts w:ascii="Times New Roman" w:eastAsia="Times New Roman" w:hAnsi="Times New Roman" w:cs="Times New Roman"/>
          <w:sz w:val="24"/>
          <w:szCs w:val="24"/>
          <w:lang w:eastAsia="hr-HR"/>
        </w:rPr>
        <w:t>Povećanje decentraliziranih sredstava raspoređuje se kako slijedi:</w:t>
      </w:r>
    </w:p>
    <w:p w:rsidR="00D84A4C" w:rsidRPr="00D84A4C" w:rsidRDefault="00D84A4C" w:rsidP="00D84A4C">
      <w:pPr>
        <w:numPr>
          <w:ilvl w:val="0"/>
          <w:numId w:val="5"/>
        </w:numPr>
        <w:spacing w:before="100" w:beforeAutospacing="1" w:after="100" w:afterAutospacing="1" w:line="360" w:lineRule="auto"/>
        <w:rPr>
          <w:rFonts w:ascii="Times New Roman" w:eastAsia="Times New Roman" w:hAnsi="Times New Roman" w:cs="Times New Roman"/>
          <w:sz w:val="24"/>
          <w:szCs w:val="24"/>
          <w:lang w:eastAsia="hr-HR"/>
        </w:rPr>
      </w:pPr>
      <w:r w:rsidRPr="00D84A4C">
        <w:rPr>
          <w:rFonts w:ascii="Times New Roman" w:eastAsia="Times New Roman" w:hAnsi="Times New Roman" w:cs="Times New Roman"/>
          <w:bCs/>
          <w:sz w:val="24"/>
          <w:szCs w:val="24"/>
          <w:lang w:eastAsia="hr-HR"/>
        </w:rPr>
        <w:t>Troškovi energenata – 3.300,00 €</w:t>
      </w:r>
      <w:r w:rsidRPr="00D84A4C">
        <w:rPr>
          <w:rFonts w:ascii="Times New Roman" w:eastAsia="Times New Roman" w:hAnsi="Times New Roman" w:cs="Times New Roman"/>
          <w:sz w:val="24"/>
          <w:szCs w:val="24"/>
          <w:lang w:eastAsia="hr-HR"/>
        </w:rPr>
        <w:br/>
        <w:t>Riječ je o korekciji zbog značajnog povećanja cijena električne energije i povećane potrošnje uzrokovane programom Cjelodnevne škole (</w:t>
      </w:r>
      <w:r>
        <w:rPr>
          <w:rFonts w:ascii="Times New Roman" w:eastAsia="Times New Roman" w:hAnsi="Times New Roman" w:cs="Times New Roman"/>
          <w:sz w:val="24"/>
          <w:szCs w:val="24"/>
          <w:lang w:eastAsia="hr-HR"/>
        </w:rPr>
        <w:t>cjelodnevni</w:t>
      </w:r>
      <w:r w:rsidRPr="00D84A4C">
        <w:rPr>
          <w:rFonts w:ascii="Times New Roman" w:eastAsia="Times New Roman" w:hAnsi="Times New Roman" w:cs="Times New Roman"/>
          <w:sz w:val="24"/>
          <w:szCs w:val="24"/>
          <w:lang w:eastAsia="hr-HR"/>
        </w:rPr>
        <w:t xml:space="preserve"> boravak, rad u poslijepodnevnim satima, povećana upotreba rasvjete, grijanja i školskih uređaja). </w:t>
      </w:r>
      <w:r w:rsidRPr="00D84A4C">
        <w:rPr>
          <w:rFonts w:ascii="Times New Roman" w:eastAsia="Times New Roman" w:hAnsi="Times New Roman" w:cs="Times New Roman"/>
          <w:sz w:val="24"/>
          <w:szCs w:val="24"/>
          <w:lang w:eastAsia="hr-HR"/>
        </w:rPr>
        <w:lastRenderedPageBreak/>
        <w:t>Procjena stvarnih troškova ukazuje da je nužno dodatno financiranje ove stavke kako bi se osigurala redovita opskrba i izbjegla mogućnost neplaćenih dospjelih obveza.</w:t>
      </w:r>
    </w:p>
    <w:p w:rsidR="00D84A4C" w:rsidRPr="00D84A4C" w:rsidRDefault="00D84A4C" w:rsidP="00D84A4C">
      <w:pPr>
        <w:numPr>
          <w:ilvl w:val="0"/>
          <w:numId w:val="5"/>
        </w:numPr>
        <w:spacing w:before="100" w:beforeAutospacing="1" w:after="100" w:afterAutospacing="1" w:line="360" w:lineRule="auto"/>
        <w:rPr>
          <w:rFonts w:ascii="Times New Roman" w:eastAsia="Times New Roman" w:hAnsi="Times New Roman" w:cs="Times New Roman"/>
          <w:sz w:val="24"/>
          <w:szCs w:val="24"/>
          <w:lang w:eastAsia="hr-HR"/>
        </w:rPr>
      </w:pPr>
      <w:r w:rsidRPr="00D84A4C">
        <w:rPr>
          <w:rFonts w:ascii="Times New Roman" w:eastAsia="Times New Roman" w:hAnsi="Times New Roman" w:cs="Times New Roman"/>
          <w:bCs/>
          <w:sz w:val="24"/>
          <w:szCs w:val="24"/>
          <w:lang w:eastAsia="hr-HR"/>
        </w:rPr>
        <w:t>Opći materijalni troškovi – 2.000,00 €</w:t>
      </w:r>
      <w:r w:rsidRPr="00D84A4C">
        <w:rPr>
          <w:rFonts w:ascii="Times New Roman" w:eastAsia="Times New Roman" w:hAnsi="Times New Roman" w:cs="Times New Roman"/>
          <w:sz w:val="24"/>
          <w:szCs w:val="24"/>
          <w:lang w:eastAsia="hr-HR"/>
        </w:rPr>
        <w:br/>
        <w:t>Ova sredstva odnose se na podmirivanje rasta cijena materijala, usluga i potrošnih sredstava (higijenski materijal, školski potro</w:t>
      </w:r>
      <w:r>
        <w:rPr>
          <w:rFonts w:ascii="Times New Roman" w:eastAsia="Times New Roman" w:hAnsi="Times New Roman" w:cs="Times New Roman"/>
          <w:sz w:val="24"/>
          <w:szCs w:val="24"/>
          <w:lang w:eastAsia="hr-HR"/>
        </w:rPr>
        <w:t xml:space="preserve">šni materijal, servisne usluge </w:t>
      </w:r>
      <w:r w:rsidRPr="00D84A4C">
        <w:rPr>
          <w:rFonts w:ascii="Times New Roman" w:eastAsia="Times New Roman" w:hAnsi="Times New Roman" w:cs="Times New Roman"/>
          <w:sz w:val="24"/>
          <w:szCs w:val="24"/>
          <w:lang w:eastAsia="hr-HR"/>
        </w:rPr>
        <w:t>i drugi obvezni rashodi kućanstva škole). Uočen je rast ove kategorije iznad planiranog, posebno zbog povećanog intenziteta korištenja škole kroz cijeli dan u okviru CDŠ-a</w:t>
      </w:r>
      <w:r>
        <w:rPr>
          <w:rFonts w:ascii="Times New Roman" w:eastAsia="Times New Roman" w:hAnsi="Times New Roman" w:cs="Times New Roman"/>
          <w:sz w:val="24"/>
          <w:szCs w:val="24"/>
          <w:lang w:eastAsia="hr-HR"/>
        </w:rPr>
        <w:t xml:space="preserve"> kao i </w:t>
      </w:r>
      <w:proofErr w:type="spellStart"/>
      <w:r>
        <w:rPr>
          <w:rFonts w:ascii="Times New Roman" w:eastAsia="Times New Roman" w:hAnsi="Times New Roman" w:cs="Times New Roman"/>
          <w:sz w:val="24"/>
          <w:szCs w:val="24"/>
          <w:lang w:eastAsia="hr-HR"/>
        </w:rPr>
        <w:t>korišenje</w:t>
      </w:r>
      <w:proofErr w:type="spellEnd"/>
      <w:r>
        <w:rPr>
          <w:rFonts w:ascii="Times New Roman" w:eastAsia="Times New Roman" w:hAnsi="Times New Roman" w:cs="Times New Roman"/>
          <w:sz w:val="24"/>
          <w:szCs w:val="24"/>
          <w:lang w:eastAsia="hr-HR"/>
        </w:rPr>
        <w:t xml:space="preserve"> škole od strane drugih škola</w:t>
      </w:r>
      <w:r w:rsidRPr="00D84A4C">
        <w:rPr>
          <w:rFonts w:ascii="Times New Roman" w:eastAsia="Times New Roman" w:hAnsi="Times New Roman" w:cs="Times New Roman"/>
          <w:sz w:val="24"/>
          <w:szCs w:val="24"/>
          <w:lang w:eastAsia="hr-HR"/>
        </w:rPr>
        <w:t>.</w:t>
      </w:r>
    </w:p>
    <w:p w:rsidR="00D84A4C" w:rsidRDefault="00D84A4C" w:rsidP="00D84A4C">
      <w:pPr>
        <w:numPr>
          <w:ilvl w:val="0"/>
          <w:numId w:val="5"/>
        </w:numPr>
        <w:spacing w:before="100" w:beforeAutospacing="1" w:after="100" w:afterAutospacing="1" w:line="360" w:lineRule="auto"/>
        <w:rPr>
          <w:rFonts w:ascii="Times New Roman" w:eastAsia="Times New Roman" w:hAnsi="Times New Roman" w:cs="Times New Roman"/>
          <w:sz w:val="24"/>
          <w:szCs w:val="24"/>
          <w:lang w:eastAsia="hr-HR"/>
        </w:rPr>
      </w:pPr>
      <w:r w:rsidRPr="00D84A4C">
        <w:rPr>
          <w:rFonts w:ascii="Times New Roman" w:eastAsia="Times New Roman" w:hAnsi="Times New Roman" w:cs="Times New Roman"/>
          <w:bCs/>
          <w:sz w:val="24"/>
          <w:szCs w:val="24"/>
          <w:lang w:eastAsia="hr-HR"/>
        </w:rPr>
        <w:t>Tekuće, hitno i plansko održavanje objekta – 1.404,00 €</w:t>
      </w:r>
      <w:r w:rsidRPr="00D84A4C">
        <w:rPr>
          <w:rFonts w:ascii="Times New Roman" w:eastAsia="Times New Roman" w:hAnsi="Times New Roman" w:cs="Times New Roman"/>
          <w:sz w:val="24"/>
          <w:szCs w:val="24"/>
          <w:lang w:eastAsia="hr-HR"/>
        </w:rPr>
        <w:br/>
        <w:t>Sredstva se odnose na nužne radove hitnog karaktera kao i na planirane radove tekućeg održavanja. Održavanje objekta mora se provoditi kontinuirano kako bi se osigurali minimalni tehnički i sigurnosni uvjeti rada škole. Povećanje je usklađeno s procjenama stvarnih potreba i realiziranim troškovima u prethodnom razdoblju.</w:t>
      </w:r>
    </w:p>
    <w:p w:rsidR="00D84A4C" w:rsidRPr="00D84A4C" w:rsidRDefault="00D84A4C" w:rsidP="00D84A4C">
      <w:pPr>
        <w:spacing w:before="100" w:beforeAutospacing="1" w:after="100" w:afterAutospacing="1" w:line="360" w:lineRule="auto"/>
        <w:ind w:left="720"/>
        <w:rPr>
          <w:rFonts w:ascii="Times New Roman" w:eastAsia="Times New Roman" w:hAnsi="Times New Roman" w:cs="Times New Roman"/>
          <w:sz w:val="24"/>
          <w:szCs w:val="24"/>
          <w:lang w:eastAsia="hr-HR"/>
        </w:rPr>
      </w:pPr>
    </w:p>
    <w:p w:rsidR="007C526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t xml:space="preserve">5.2 </w:t>
      </w:r>
      <w:r w:rsidR="001C74BF">
        <w:rPr>
          <w:rFonts w:ascii="Times New Roman" w:eastAsia="Times New Roman" w:hAnsi="Times New Roman" w:cs="Times New Roman"/>
          <w:b/>
          <w:bCs/>
          <w:sz w:val="24"/>
          <w:szCs w:val="24"/>
          <w:lang w:eastAsia="hr-HR"/>
        </w:rPr>
        <w:t>Prihodi</w:t>
      </w:r>
      <w:r w:rsidRPr="009C6041">
        <w:rPr>
          <w:rFonts w:ascii="Times New Roman" w:eastAsia="Times New Roman" w:hAnsi="Times New Roman" w:cs="Times New Roman"/>
          <w:b/>
          <w:bCs/>
          <w:sz w:val="24"/>
          <w:szCs w:val="24"/>
          <w:lang w:eastAsia="hr-HR"/>
        </w:rPr>
        <w:t xml:space="preserve"> iz nenadležnog proračuna (MZO</w:t>
      </w:r>
      <w:r w:rsidR="009C6041" w:rsidRPr="009C6041">
        <w:rPr>
          <w:rFonts w:ascii="Times New Roman" w:eastAsia="Times New Roman" w:hAnsi="Times New Roman" w:cs="Times New Roman"/>
          <w:b/>
          <w:bCs/>
          <w:sz w:val="24"/>
          <w:szCs w:val="24"/>
          <w:lang w:eastAsia="hr-HR"/>
        </w:rPr>
        <w:t>M</w:t>
      </w:r>
      <w:r w:rsidRPr="009C6041">
        <w:rPr>
          <w:rFonts w:ascii="Times New Roman" w:eastAsia="Times New Roman" w:hAnsi="Times New Roman" w:cs="Times New Roman"/>
          <w:b/>
          <w:bCs/>
          <w:sz w:val="24"/>
          <w:szCs w:val="24"/>
          <w:lang w:eastAsia="hr-HR"/>
        </w:rPr>
        <w:t xml:space="preserve"> i Općina </w:t>
      </w:r>
      <w:proofErr w:type="spellStart"/>
      <w:r w:rsidRPr="009C6041">
        <w:rPr>
          <w:rFonts w:ascii="Times New Roman" w:eastAsia="Times New Roman" w:hAnsi="Times New Roman" w:cs="Times New Roman"/>
          <w:b/>
          <w:bCs/>
          <w:sz w:val="24"/>
          <w:szCs w:val="24"/>
          <w:lang w:eastAsia="hr-HR"/>
        </w:rPr>
        <w:t>Drenovci</w:t>
      </w:r>
      <w:proofErr w:type="spellEnd"/>
      <w:r w:rsidRPr="009C6041">
        <w:rPr>
          <w:rFonts w:ascii="Times New Roman" w:eastAsia="Times New Roman" w:hAnsi="Times New Roman" w:cs="Times New Roman"/>
          <w:b/>
          <w:bCs/>
          <w:sz w:val="24"/>
          <w:szCs w:val="24"/>
          <w:lang w:eastAsia="hr-HR"/>
        </w:rPr>
        <w:t xml:space="preserve"> –636)</w:t>
      </w:r>
    </w:p>
    <w:p w:rsidR="00152FE4" w:rsidRPr="00152FE4" w:rsidRDefault="00152FE4" w:rsidP="001C74BF">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52FE4">
        <w:rPr>
          <w:rFonts w:ascii="Times New Roman" w:eastAsia="Times New Roman" w:hAnsi="Times New Roman" w:cs="Times New Roman"/>
          <w:sz w:val="24"/>
          <w:szCs w:val="24"/>
          <w:lang w:eastAsia="hr-HR"/>
        </w:rPr>
        <w:t>Na izvoru 512 evidentirano je povećanje tekućih pomoći iz nenadležnih proračuna zbog korekcija sr</w:t>
      </w:r>
      <w:r w:rsidR="001C74BF">
        <w:rPr>
          <w:rFonts w:ascii="Times New Roman" w:eastAsia="Times New Roman" w:hAnsi="Times New Roman" w:cs="Times New Roman"/>
          <w:sz w:val="24"/>
          <w:szCs w:val="24"/>
          <w:lang w:eastAsia="hr-HR"/>
        </w:rPr>
        <w:t xml:space="preserve">edstava Ministarstva znanosti, </w:t>
      </w:r>
      <w:r w:rsidRPr="00152FE4">
        <w:rPr>
          <w:rFonts w:ascii="Times New Roman" w:eastAsia="Times New Roman" w:hAnsi="Times New Roman" w:cs="Times New Roman"/>
          <w:sz w:val="24"/>
          <w:szCs w:val="24"/>
          <w:lang w:eastAsia="hr-HR"/>
        </w:rPr>
        <w:t xml:space="preserve">obrazovanja </w:t>
      </w:r>
      <w:r w:rsidR="001C74BF">
        <w:rPr>
          <w:rFonts w:ascii="Times New Roman" w:eastAsia="Times New Roman" w:hAnsi="Times New Roman" w:cs="Times New Roman"/>
          <w:sz w:val="24"/>
          <w:szCs w:val="24"/>
          <w:lang w:eastAsia="hr-HR"/>
        </w:rPr>
        <w:t xml:space="preserve">i mladih </w:t>
      </w:r>
      <w:r w:rsidRPr="00152FE4">
        <w:rPr>
          <w:rFonts w:ascii="Times New Roman" w:eastAsia="Times New Roman" w:hAnsi="Times New Roman" w:cs="Times New Roman"/>
          <w:sz w:val="24"/>
          <w:szCs w:val="24"/>
          <w:lang w:eastAsia="hr-HR"/>
        </w:rPr>
        <w:t xml:space="preserve">te Općine </w:t>
      </w:r>
      <w:proofErr w:type="spellStart"/>
      <w:r w:rsidRPr="00152FE4">
        <w:rPr>
          <w:rFonts w:ascii="Times New Roman" w:eastAsia="Times New Roman" w:hAnsi="Times New Roman" w:cs="Times New Roman"/>
          <w:sz w:val="24"/>
          <w:szCs w:val="24"/>
          <w:lang w:eastAsia="hr-HR"/>
        </w:rPr>
        <w:t>Drenovci</w:t>
      </w:r>
      <w:proofErr w:type="spellEnd"/>
      <w:r w:rsidRPr="00152FE4">
        <w:rPr>
          <w:rFonts w:ascii="Times New Roman" w:eastAsia="Times New Roman" w:hAnsi="Times New Roman" w:cs="Times New Roman"/>
          <w:sz w:val="24"/>
          <w:szCs w:val="24"/>
          <w:lang w:eastAsia="hr-HR"/>
        </w:rPr>
        <w:t>.</w:t>
      </w:r>
    </w:p>
    <w:p w:rsidR="00152FE4" w:rsidRPr="00152FE4" w:rsidRDefault="001C74BF" w:rsidP="001C74BF">
      <w:pPr>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Ministarstvo znanosti,</w:t>
      </w:r>
      <w:r w:rsidR="00152FE4" w:rsidRPr="00152FE4">
        <w:rPr>
          <w:rFonts w:ascii="Times New Roman" w:eastAsia="Times New Roman" w:hAnsi="Times New Roman" w:cs="Times New Roman"/>
          <w:sz w:val="24"/>
          <w:szCs w:val="24"/>
          <w:lang w:eastAsia="hr-HR"/>
        </w:rPr>
        <w:t xml:space="preserve"> obrazovanja</w:t>
      </w:r>
      <w:r>
        <w:rPr>
          <w:rFonts w:ascii="Times New Roman" w:eastAsia="Times New Roman" w:hAnsi="Times New Roman" w:cs="Times New Roman"/>
          <w:sz w:val="24"/>
          <w:szCs w:val="24"/>
          <w:lang w:eastAsia="hr-HR"/>
        </w:rPr>
        <w:t xml:space="preserve"> i mladih</w:t>
      </w:r>
      <w:r w:rsidR="00152FE4" w:rsidRPr="00152FE4">
        <w:rPr>
          <w:rFonts w:ascii="Times New Roman" w:eastAsia="Times New Roman" w:hAnsi="Times New Roman" w:cs="Times New Roman"/>
          <w:sz w:val="24"/>
          <w:szCs w:val="24"/>
          <w:lang w:eastAsia="hr-HR"/>
        </w:rPr>
        <w:t xml:space="preserve"> povećalo je odobrena sredstva ponajprije radi </w:t>
      </w:r>
      <w:r w:rsidR="00152FE4" w:rsidRPr="00152FE4">
        <w:rPr>
          <w:rFonts w:ascii="Times New Roman" w:eastAsia="Times New Roman" w:hAnsi="Times New Roman" w:cs="Times New Roman"/>
          <w:bCs/>
          <w:sz w:val="24"/>
          <w:szCs w:val="24"/>
          <w:lang w:eastAsia="hr-HR"/>
        </w:rPr>
        <w:t>povećanja osnovice plaće zaposlenika</w:t>
      </w:r>
      <w:r w:rsidR="00152FE4" w:rsidRPr="00152FE4">
        <w:rPr>
          <w:rFonts w:ascii="Times New Roman" w:eastAsia="Times New Roman" w:hAnsi="Times New Roman" w:cs="Times New Roman"/>
          <w:sz w:val="24"/>
          <w:szCs w:val="24"/>
          <w:lang w:eastAsia="hr-HR"/>
        </w:rPr>
        <w:t xml:space="preserve"> te radi </w:t>
      </w:r>
      <w:r w:rsidR="00152FE4" w:rsidRPr="00152FE4">
        <w:rPr>
          <w:rFonts w:ascii="Times New Roman" w:eastAsia="Times New Roman" w:hAnsi="Times New Roman" w:cs="Times New Roman"/>
          <w:bCs/>
          <w:sz w:val="24"/>
          <w:szCs w:val="24"/>
          <w:lang w:eastAsia="hr-HR"/>
        </w:rPr>
        <w:t>povećanog opsega aktivnosti u okviru programa Cjelodnevne škole (CDŠ)</w:t>
      </w:r>
      <w:r w:rsidR="00152FE4" w:rsidRPr="00152FE4">
        <w:rPr>
          <w:rFonts w:ascii="Times New Roman" w:eastAsia="Times New Roman" w:hAnsi="Times New Roman" w:cs="Times New Roman"/>
          <w:sz w:val="24"/>
          <w:szCs w:val="24"/>
          <w:lang w:eastAsia="hr-HR"/>
        </w:rPr>
        <w:t>. Tijekom godine došlo je do porasta broja B1 i B2 aktivnosti, što je zahtijevalo dodatna sredstva za rad učitelja, pripremu i provedbu aktivnosti te materijalne troškove povezane s CDŠ programom. Zbog toga je bilo potrebno povećati iznos pomoći kako bi škola mogla redovito podmirivati obveze vezane uz provedbu programa.</w:t>
      </w:r>
    </w:p>
    <w:p w:rsidR="00152FE4" w:rsidRPr="00152FE4" w:rsidRDefault="00152FE4" w:rsidP="001C74BF">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52FE4">
        <w:rPr>
          <w:rFonts w:ascii="Times New Roman" w:eastAsia="Times New Roman" w:hAnsi="Times New Roman" w:cs="Times New Roman"/>
          <w:sz w:val="24"/>
          <w:szCs w:val="24"/>
          <w:lang w:eastAsia="hr-HR"/>
        </w:rPr>
        <w:t xml:space="preserve">Dodatno, povećani su prihodi iz proračuna </w:t>
      </w:r>
      <w:r w:rsidRPr="00152FE4">
        <w:rPr>
          <w:rFonts w:ascii="Times New Roman" w:eastAsia="Times New Roman" w:hAnsi="Times New Roman" w:cs="Times New Roman"/>
          <w:bCs/>
          <w:sz w:val="24"/>
          <w:szCs w:val="24"/>
          <w:lang w:eastAsia="hr-HR"/>
        </w:rPr>
        <w:t xml:space="preserve">Općine </w:t>
      </w:r>
      <w:proofErr w:type="spellStart"/>
      <w:r w:rsidRPr="00152FE4">
        <w:rPr>
          <w:rFonts w:ascii="Times New Roman" w:eastAsia="Times New Roman" w:hAnsi="Times New Roman" w:cs="Times New Roman"/>
          <w:bCs/>
          <w:sz w:val="24"/>
          <w:szCs w:val="24"/>
          <w:lang w:eastAsia="hr-HR"/>
        </w:rPr>
        <w:t>Drenovci</w:t>
      </w:r>
      <w:proofErr w:type="spellEnd"/>
      <w:r w:rsidRPr="00152FE4">
        <w:rPr>
          <w:rFonts w:ascii="Times New Roman" w:eastAsia="Times New Roman" w:hAnsi="Times New Roman" w:cs="Times New Roman"/>
          <w:sz w:val="24"/>
          <w:szCs w:val="24"/>
          <w:lang w:eastAsia="hr-HR"/>
        </w:rPr>
        <w:t xml:space="preserve">, koji se odnose na financiranje </w:t>
      </w:r>
      <w:r w:rsidRPr="00152FE4">
        <w:rPr>
          <w:rFonts w:ascii="Times New Roman" w:eastAsia="Times New Roman" w:hAnsi="Times New Roman" w:cs="Times New Roman"/>
          <w:bCs/>
          <w:sz w:val="24"/>
          <w:szCs w:val="24"/>
          <w:lang w:eastAsia="hr-HR"/>
        </w:rPr>
        <w:t>plaće odgojiteljice predškolskog programa</w:t>
      </w:r>
      <w:r w:rsidRPr="00152FE4">
        <w:rPr>
          <w:rFonts w:ascii="Times New Roman" w:eastAsia="Times New Roman" w:hAnsi="Times New Roman" w:cs="Times New Roman"/>
          <w:sz w:val="24"/>
          <w:szCs w:val="24"/>
          <w:lang w:eastAsia="hr-HR"/>
        </w:rPr>
        <w:t xml:space="preserve">, te na </w:t>
      </w:r>
      <w:r w:rsidRPr="00152FE4">
        <w:rPr>
          <w:rFonts w:ascii="Times New Roman" w:eastAsia="Times New Roman" w:hAnsi="Times New Roman" w:cs="Times New Roman"/>
          <w:bCs/>
          <w:sz w:val="24"/>
          <w:szCs w:val="24"/>
          <w:lang w:eastAsia="hr-HR"/>
        </w:rPr>
        <w:t>materijalne troškove vezane uz uređenje školskog prostora</w:t>
      </w:r>
      <w:r w:rsidRPr="00152FE4">
        <w:rPr>
          <w:rFonts w:ascii="Times New Roman" w:eastAsia="Times New Roman" w:hAnsi="Times New Roman" w:cs="Times New Roman"/>
          <w:sz w:val="24"/>
          <w:szCs w:val="24"/>
          <w:lang w:eastAsia="hr-HR"/>
        </w:rPr>
        <w:t xml:space="preserve">, uključujući potporu Općine u financiranju </w:t>
      </w:r>
      <w:r w:rsidRPr="00152FE4">
        <w:rPr>
          <w:rFonts w:ascii="Times New Roman" w:eastAsia="Times New Roman" w:hAnsi="Times New Roman" w:cs="Times New Roman"/>
          <w:bCs/>
          <w:sz w:val="24"/>
          <w:szCs w:val="24"/>
          <w:lang w:eastAsia="hr-HR"/>
        </w:rPr>
        <w:t>nabave betona i radova na ograđivanju i uređenju prostora za šupu</w:t>
      </w:r>
      <w:r w:rsidRPr="00152FE4">
        <w:rPr>
          <w:rFonts w:ascii="Times New Roman" w:eastAsia="Times New Roman" w:hAnsi="Times New Roman" w:cs="Times New Roman"/>
          <w:sz w:val="24"/>
          <w:szCs w:val="24"/>
          <w:lang w:eastAsia="hr-HR"/>
        </w:rPr>
        <w:t xml:space="preserve">. Ova sredstva osiguravaju osnovne uvjete za rad </w:t>
      </w:r>
      <w:proofErr w:type="spellStart"/>
      <w:r w:rsidRPr="00152FE4">
        <w:rPr>
          <w:rFonts w:ascii="Times New Roman" w:eastAsia="Times New Roman" w:hAnsi="Times New Roman" w:cs="Times New Roman"/>
          <w:sz w:val="24"/>
          <w:szCs w:val="24"/>
          <w:lang w:eastAsia="hr-HR"/>
        </w:rPr>
        <w:t>predškole</w:t>
      </w:r>
      <w:proofErr w:type="spellEnd"/>
      <w:r w:rsidRPr="00152FE4">
        <w:rPr>
          <w:rFonts w:ascii="Times New Roman" w:eastAsia="Times New Roman" w:hAnsi="Times New Roman" w:cs="Times New Roman"/>
          <w:sz w:val="24"/>
          <w:szCs w:val="24"/>
          <w:lang w:eastAsia="hr-HR"/>
        </w:rPr>
        <w:t xml:space="preserve"> i održavanje sigurnosti i funkcionalnosti školskog okoliša.</w:t>
      </w:r>
    </w:p>
    <w:p w:rsidR="00FC3D2C" w:rsidRPr="00FC3D2C" w:rsidRDefault="00152FE4" w:rsidP="00FC3D2C">
      <w:pPr>
        <w:spacing w:before="100" w:beforeAutospacing="1" w:after="100" w:afterAutospacing="1" w:line="360" w:lineRule="auto"/>
        <w:jc w:val="both"/>
        <w:rPr>
          <w:rFonts w:ascii="Times New Roman" w:eastAsia="Times New Roman" w:hAnsi="Times New Roman" w:cs="Times New Roman"/>
          <w:sz w:val="24"/>
          <w:szCs w:val="24"/>
          <w:lang w:eastAsia="hr-HR"/>
        </w:rPr>
      </w:pPr>
      <w:r w:rsidRPr="00152FE4">
        <w:rPr>
          <w:rFonts w:ascii="Times New Roman" w:eastAsia="Times New Roman" w:hAnsi="Times New Roman" w:cs="Times New Roman"/>
          <w:sz w:val="24"/>
          <w:szCs w:val="24"/>
          <w:lang w:eastAsia="hr-HR"/>
        </w:rPr>
        <w:lastRenderedPageBreak/>
        <w:t>Ukupno povećanje prihoda na kontu 636 opravdano je stvarnim potrebama škole tijekom godine te predstavlja usklađivanje financijskog plana s odlukama nadležnih tijela i proširenim opsegom aktivnosti.</w:t>
      </w:r>
    </w:p>
    <w:p w:rsidR="007C5261" w:rsidRPr="009C604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t>5.3 Prihodi za posebne namjene i donacije (ekonomske šifre 652 i 661)</w:t>
      </w:r>
    </w:p>
    <w:tbl>
      <w:tblPr>
        <w:tblpPr w:leftFromText="180" w:rightFromText="180" w:vertAnchor="text" w:horzAnchor="margin" w:tblpXSpec="center" w:tblpY="723"/>
        <w:tblW w:w="10275" w:type="dxa"/>
        <w:tblLook w:val="04A0" w:firstRow="1" w:lastRow="0" w:firstColumn="1" w:lastColumn="0" w:noHBand="0" w:noVBand="1"/>
      </w:tblPr>
      <w:tblGrid>
        <w:gridCol w:w="920"/>
        <w:gridCol w:w="3860"/>
        <w:gridCol w:w="1780"/>
        <w:gridCol w:w="1835"/>
        <w:gridCol w:w="1880"/>
      </w:tblGrid>
      <w:tr w:rsidR="00FC2DF5" w:rsidRPr="00FC2DF5" w:rsidTr="00FC2DF5">
        <w:trPr>
          <w:trHeight w:val="390"/>
        </w:trPr>
        <w:tc>
          <w:tcPr>
            <w:tcW w:w="10275" w:type="dxa"/>
            <w:gridSpan w:val="5"/>
            <w:tcBorders>
              <w:top w:val="nil"/>
              <w:left w:val="nil"/>
              <w:bottom w:val="nil"/>
              <w:right w:val="nil"/>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PRIHODI </w:t>
            </w:r>
            <w:r w:rsidRPr="00FC2DF5">
              <w:rPr>
                <w:rFonts w:ascii="Arial" w:eastAsia="Times New Roman" w:hAnsi="Arial" w:cs="Arial"/>
                <w:color w:val="000000"/>
                <w:sz w:val="20"/>
                <w:szCs w:val="20"/>
                <w:lang w:eastAsia="hr-HR"/>
              </w:rPr>
              <w:t xml:space="preserve"> PREMA EKONOMSKOJ KLASIFIKACIJI</w:t>
            </w:r>
          </w:p>
        </w:tc>
      </w:tr>
      <w:tr w:rsidR="00FC2DF5" w:rsidRPr="00FC2DF5" w:rsidTr="00FC2DF5">
        <w:trPr>
          <w:trHeight w:val="180"/>
        </w:trPr>
        <w:tc>
          <w:tcPr>
            <w:tcW w:w="92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jc w:val="center"/>
              <w:rPr>
                <w:rFonts w:ascii="Arial" w:eastAsia="Times New Roman" w:hAnsi="Arial" w:cs="Arial"/>
                <w:color w:val="000000"/>
                <w:sz w:val="20"/>
                <w:szCs w:val="20"/>
                <w:lang w:eastAsia="hr-HR"/>
              </w:rPr>
            </w:pPr>
          </w:p>
        </w:tc>
        <w:tc>
          <w:tcPr>
            <w:tcW w:w="386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835"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r>
      <w:tr w:rsidR="00FC2DF5" w:rsidRPr="00FC2DF5" w:rsidTr="00FC2DF5">
        <w:trPr>
          <w:trHeight w:val="555"/>
        </w:trPr>
        <w:tc>
          <w:tcPr>
            <w:tcW w:w="92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Razred/ skupina</w:t>
            </w:r>
          </w:p>
        </w:tc>
        <w:tc>
          <w:tcPr>
            <w:tcW w:w="386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Naziv prihoda</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Plan 2025.</w:t>
            </w:r>
          </w:p>
        </w:tc>
        <w:tc>
          <w:tcPr>
            <w:tcW w:w="1835"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Novi plan 2025.</w:t>
            </w:r>
          </w:p>
        </w:tc>
      </w:tr>
      <w:tr w:rsidR="00FC2DF5" w:rsidRPr="00FC2DF5" w:rsidTr="00FC2DF5">
        <w:trPr>
          <w:trHeight w:val="225"/>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5</w:t>
            </w:r>
          </w:p>
        </w:tc>
      </w:tr>
      <w:tr w:rsidR="00FC2DF5" w:rsidRPr="00FC2DF5" w:rsidTr="00FC2DF5">
        <w:trPr>
          <w:trHeight w:val="36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 </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UKUPNO PRIHODI</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1.292.894,98</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-11.518,75</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1.281.376,23</w:t>
            </w:r>
          </w:p>
        </w:tc>
      </w:tr>
      <w:tr w:rsidR="00FC2DF5" w:rsidRPr="00FC2DF5" w:rsidTr="00FC2DF5">
        <w:trPr>
          <w:trHeight w:val="36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6</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Prihodi poslovanja</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1.292.894,98</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-11.518,75</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1.281.376,23</w:t>
            </w:r>
          </w:p>
        </w:tc>
      </w:tr>
      <w:tr w:rsidR="00FC2DF5" w:rsidRPr="00FC2DF5" w:rsidTr="00FC2DF5">
        <w:trPr>
          <w:trHeight w:val="42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63</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Pomoći iz inozemstva i od subjekata unutar općeg proračuna</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1.245.608,89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-30.696,67</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1.214.912,22</w:t>
            </w:r>
          </w:p>
        </w:tc>
      </w:tr>
      <w:tr w:rsidR="00FC2DF5" w:rsidRPr="00FC2DF5" w:rsidTr="00FC2DF5">
        <w:trPr>
          <w:trHeight w:val="36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64</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Prihodi od imovine</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-0,04</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0,05</w:t>
            </w:r>
          </w:p>
        </w:tc>
      </w:tr>
      <w:tr w:rsidR="00FC2DF5" w:rsidRPr="00FC2DF5" w:rsidTr="00FC2DF5">
        <w:trPr>
          <w:trHeight w:val="405"/>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65</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Prihodi od upravnih i administrativnih pristojbi, pristojbi po posebnim propisima i naknada</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5.000,00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-2.475,00</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2.525,00</w:t>
            </w:r>
          </w:p>
        </w:tc>
      </w:tr>
      <w:tr w:rsidR="00FC2DF5" w:rsidRPr="00FC2DF5" w:rsidTr="00FC2DF5">
        <w:trPr>
          <w:trHeight w:val="60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66</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Prihodi od prodaje proizvoda i robe te pruženih usluga, prihodi od donacija te povrati po protestiranim jamstvima</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1.500,00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50,00</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1.550,00</w:t>
            </w:r>
          </w:p>
        </w:tc>
      </w:tr>
      <w:tr w:rsidR="00FC2DF5" w:rsidRPr="00FC2DF5" w:rsidTr="00FC2DF5">
        <w:trPr>
          <w:trHeight w:val="420"/>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67</w:t>
            </w:r>
          </w:p>
        </w:tc>
        <w:tc>
          <w:tcPr>
            <w:tcW w:w="386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Prihodi iz nadležnog proračuna i od HZZO-a temeljem ugovornih obveza</w:t>
            </w:r>
          </w:p>
        </w:tc>
        <w:tc>
          <w:tcPr>
            <w:tcW w:w="17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40.786,00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21.602,96</w:t>
            </w:r>
          </w:p>
        </w:tc>
        <w:tc>
          <w:tcPr>
            <w:tcW w:w="188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62.388,96</w:t>
            </w:r>
          </w:p>
        </w:tc>
      </w:tr>
    </w:tbl>
    <w:p w:rsid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U ovoj skupini reflektiraju se uplate </w:t>
      </w:r>
      <w:r w:rsidR="009C6041">
        <w:rPr>
          <w:rFonts w:ascii="Times New Roman" w:eastAsia="Times New Roman" w:hAnsi="Times New Roman" w:cs="Times New Roman"/>
          <w:sz w:val="24"/>
          <w:szCs w:val="24"/>
          <w:lang w:eastAsia="hr-HR"/>
        </w:rPr>
        <w:t>agencija</w:t>
      </w:r>
      <w:r w:rsidRPr="007C5261">
        <w:rPr>
          <w:rFonts w:ascii="Times New Roman" w:eastAsia="Times New Roman" w:hAnsi="Times New Roman" w:cs="Times New Roman"/>
          <w:sz w:val="24"/>
          <w:szCs w:val="24"/>
          <w:lang w:eastAsia="hr-HR"/>
        </w:rPr>
        <w:t xml:space="preserve"> za </w:t>
      </w:r>
      <w:r w:rsidR="009C6041">
        <w:rPr>
          <w:rFonts w:ascii="Times New Roman" w:eastAsia="Times New Roman" w:hAnsi="Times New Roman" w:cs="Times New Roman"/>
          <w:sz w:val="24"/>
          <w:szCs w:val="24"/>
          <w:lang w:eastAsia="hr-HR"/>
        </w:rPr>
        <w:t>dnevnice</w:t>
      </w:r>
      <w:r w:rsidRPr="007C5261">
        <w:rPr>
          <w:rFonts w:ascii="Times New Roman" w:eastAsia="Times New Roman" w:hAnsi="Times New Roman" w:cs="Times New Roman"/>
          <w:sz w:val="24"/>
          <w:szCs w:val="24"/>
          <w:lang w:eastAsia="hr-HR"/>
        </w:rPr>
        <w:t>, prihod</w:t>
      </w:r>
      <w:r w:rsidR="009C6041">
        <w:rPr>
          <w:rFonts w:ascii="Times New Roman" w:eastAsia="Times New Roman" w:hAnsi="Times New Roman" w:cs="Times New Roman"/>
          <w:sz w:val="24"/>
          <w:szCs w:val="24"/>
          <w:lang w:eastAsia="hr-HR"/>
        </w:rPr>
        <w:t xml:space="preserve">i školske zadruge i donacije. </w:t>
      </w:r>
    </w:p>
    <w:p w:rsidR="00FC2DF5" w:rsidRDefault="00FC2DF5"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FC3D2C" w:rsidRPr="007C5261" w:rsidRDefault="00FC3D2C"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7C526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t>5.4 Rashodi za zaposlene (</w:t>
      </w:r>
      <w:r w:rsidR="009C6041" w:rsidRPr="009C6041">
        <w:rPr>
          <w:rFonts w:ascii="Times New Roman" w:eastAsia="Times New Roman" w:hAnsi="Times New Roman" w:cs="Times New Roman"/>
          <w:b/>
          <w:bCs/>
          <w:sz w:val="24"/>
          <w:szCs w:val="24"/>
          <w:lang w:eastAsia="hr-HR"/>
        </w:rPr>
        <w:t xml:space="preserve">311-313 </w:t>
      </w:r>
      <w:r w:rsidRPr="009C6041">
        <w:rPr>
          <w:rFonts w:ascii="Times New Roman" w:eastAsia="Times New Roman" w:hAnsi="Times New Roman" w:cs="Times New Roman"/>
          <w:b/>
          <w:bCs/>
          <w:sz w:val="24"/>
          <w:szCs w:val="24"/>
          <w:lang w:eastAsia="hr-HR"/>
        </w:rPr>
        <w:t>)</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Rashodi za zaposlene </w:t>
      </w:r>
      <w:r w:rsidRPr="0082259E">
        <w:rPr>
          <w:rFonts w:ascii="Times New Roman" w:eastAsia="Times New Roman" w:hAnsi="Times New Roman" w:cs="Times New Roman"/>
          <w:sz w:val="24"/>
          <w:szCs w:val="24"/>
          <w:lang w:eastAsia="hr-HR"/>
        </w:rPr>
        <w:t xml:space="preserve">su povećani zbog </w:t>
      </w:r>
      <w:r w:rsidRPr="0082259E">
        <w:rPr>
          <w:rFonts w:ascii="Times New Roman" w:eastAsia="Times New Roman" w:hAnsi="Times New Roman" w:cs="Times New Roman"/>
          <w:bCs/>
          <w:sz w:val="24"/>
          <w:szCs w:val="24"/>
          <w:lang w:eastAsia="hr-HR"/>
        </w:rPr>
        <w:t>povećanja osnovice plaće</w:t>
      </w:r>
      <w:r w:rsidRPr="0082259E">
        <w:rPr>
          <w:rFonts w:ascii="Times New Roman" w:eastAsia="Times New Roman" w:hAnsi="Times New Roman" w:cs="Times New Roman"/>
          <w:sz w:val="24"/>
          <w:szCs w:val="24"/>
          <w:lang w:eastAsia="hr-HR"/>
        </w:rPr>
        <w:t>, koja je stupila na snagu prema odluci Vlade RH i primjenjuje se na sve zaposlenike u sustavu odgoja i obrazovanja. Povećanje osnovice izravno je utjecalo na iznose bruto plaća te pripadajućih doprinosa i poreznih obveza, što se moralo odraziti u rebalansu.</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Drugo, korigirane su stavke koje se odnose na obvezna </w:t>
      </w:r>
      <w:r w:rsidRPr="0082259E">
        <w:rPr>
          <w:rFonts w:ascii="Times New Roman" w:eastAsia="Times New Roman" w:hAnsi="Times New Roman" w:cs="Times New Roman"/>
          <w:bCs/>
          <w:sz w:val="24"/>
          <w:szCs w:val="24"/>
          <w:lang w:eastAsia="hr-HR"/>
        </w:rPr>
        <w:t>materijalna prava zaposlenika</w:t>
      </w:r>
      <w:r w:rsidRPr="0082259E">
        <w:rPr>
          <w:rFonts w:ascii="Times New Roman" w:eastAsia="Times New Roman" w:hAnsi="Times New Roman" w:cs="Times New Roman"/>
          <w:sz w:val="24"/>
          <w:szCs w:val="24"/>
          <w:lang w:eastAsia="hr-HR"/>
        </w:rPr>
        <w:t>, uključujući regres, božićnicu i jubilarne nagrade, sukladno Kolektivnom ugovoru za zaposlenike u osnovnoškolskim ustanovama. Procjena isplate do kraja godine pokazala je da će za navedena prava biti potrebna dodatna sredstva, posebno zbog povećanja osnovice i većeg broja zaposlenika koji ulaze u uvjete za isplatu jubilarnih nagrada.</w:t>
      </w:r>
    </w:p>
    <w:p w:rsidR="007C526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lastRenderedPageBreak/>
        <w:t>5.5 Materijalni rashodi (321–329)</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Materijalni rashodi u rebalansu povećani su radi osiguravanja stvarnih potreba škole koje proizlaze iz proširenog opsega rada i intenzivnijeg korištenja prostora. Povećane obveze najviše se odnose na provedbu Cjelodnevne škole (CDŠ</w:t>
      </w:r>
      <w:r>
        <w:rPr>
          <w:rFonts w:ascii="Times New Roman" w:eastAsia="Times New Roman" w:hAnsi="Times New Roman" w:cs="Times New Roman"/>
          <w:sz w:val="24"/>
          <w:szCs w:val="24"/>
          <w:lang w:eastAsia="hr-HR"/>
        </w:rPr>
        <w:t>)</w:t>
      </w:r>
      <w:r w:rsidRPr="0082259E">
        <w:rPr>
          <w:rFonts w:ascii="Times New Roman" w:eastAsia="Times New Roman" w:hAnsi="Times New Roman" w:cs="Times New Roman"/>
          <w:sz w:val="24"/>
          <w:szCs w:val="24"/>
          <w:lang w:eastAsia="hr-HR"/>
        </w:rPr>
        <w:t xml:space="preserve"> te redovito održavanje objekta.</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Tijekom godine uočeno je značajno povećanje potrošnje </w:t>
      </w:r>
      <w:r w:rsidRPr="0082259E">
        <w:rPr>
          <w:rFonts w:ascii="Times New Roman" w:eastAsia="Times New Roman" w:hAnsi="Times New Roman" w:cs="Times New Roman"/>
          <w:bCs/>
          <w:sz w:val="24"/>
          <w:szCs w:val="24"/>
          <w:lang w:eastAsia="hr-HR"/>
        </w:rPr>
        <w:t>didaktičkog, nastavnog i potrošnog materijala</w:t>
      </w:r>
      <w:r w:rsidRPr="0082259E">
        <w:rPr>
          <w:rFonts w:ascii="Times New Roman" w:eastAsia="Times New Roman" w:hAnsi="Times New Roman" w:cs="Times New Roman"/>
          <w:sz w:val="24"/>
          <w:szCs w:val="24"/>
          <w:lang w:eastAsia="hr-HR"/>
        </w:rPr>
        <w:t xml:space="preserve">, budući da CDŠ podrazumijeva cjelodnevno održavanje radionica, potpomognutog učenja, B1 i B2 aktivnosti te povećan broj obrazovnih sadržaja koji zahtijevaju kontinuiranu nabavu različitih radnih materijala. </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Uz to, </w:t>
      </w:r>
      <w:r>
        <w:rPr>
          <w:rFonts w:ascii="Times New Roman" w:eastAsia="Times New Roman" w:hAnsi="Times New Roman" w:cs="Times New Roman"/>
          <w:sz w:val="24"/>
          <w:szCs w:val="24"/>
          <w:lang w:eastAsia="hr-HR"/>
        </w:rPr>
        <w:t>cjelodnevni</w:t>
      </w:r>
      <w:r w:rsidRPr="0082259E">
        <w:rPr>
          <w:rFonts w:ascii="Times New Roman" w:eastAsia="Times New Roman" w:hAnsi="Times New Roman" w:cs="Times New Roman"/>
          <w:sz w:val="24"/>
          <w:szCs w:val="24"/>
          <w:lang w:eastAsia="hr-HR"/>
        </w:rPr>
        <w:t xml:space="preserve"> boravak učenika i intenzivno korištenje školskih prostorija doveli su do povećanja potrebe za </w:t>
      </w:r>
      <w:r w:rsidRPr="0082259E">
        <w:rPr>
          <w:rFonts w:ascii="Times New Roman" w:eastAsia="Times New Roman" w:hAnsi="Times New Roman" w:cs="Times New Roman"/>
          <w:bCs/>
          <w:sz w:val="24"/>
          <w:szCs w:val="24"/>
          <w:lang w:eastAsia="hr-HR"/>
        </w:rPr>
        <w:t>općim potrošnim i higijenskim materijalom</w:t>
      </w:r>
      <w:r w:rsidRPr="0082259E">
        <w:rPr>
          <w:rFonts w:ascii="Times New Roman" w:eastAsia="Times New Roman" w:hAnsi="Times New Roman" w:cs="Times New Roman"/>
          <w:sz w:val="24"/>
          <w:szCs w:val="24"/>
          <w:lang w:eastAsia="hr-HR"/>
        </w:rPr>
        <w:t>, budući da se prostori koriste duže, češće i u većim skupinama. Povećana je i potrošnja sredstava za čišćenje, papira, sanitarnog materijala i ostalih potrepština nužnih za održavanje higijenskog standarda.</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Materijalni rashodi dodatno rastu i zbog činjenice da školsku zgradu redovito koriste i </w:t>
      </w:r>
      <w:r w:rsidRPr="0082259E">
        <w:rPr>
          <w:rFonts w:ascii="Times New Roman" w:eastAsia="Times New Roman" w:hAnsi="Times New Roman" w:cs="Times New Roman"/>
          <w:bCs/>
          <w:sz w:val="24"/>
          <w:szCs w:val="24"/>
          <w:lang w:eastAsia="hr-HR"/>
        </w:rPr>
        <w:t>Područni odjel Glazbene škole Vinkovci</w:t>
      </w:r>
      <w:r w:rsidRPr="0082259E">
        <w:rPr>
          <w:rFonts w:ascii="Times New Roman" w:eastAsia="Times New Roman" w:hAnsi="Times New Roman" w:cs="Times New Roman"/>
          <w:sz w:val="24"/>
          <w:szCs w:val="24"/>
          <w:lang w:eastAsia="hr-HR"/>
        </w:rPr>
        <w:t xml:space="preserve"> te </w:t>
      </w:r>
      <w:r>
        <w:rPr>
          <w:rFonts w:ascii="Times New Roman" w:eastAsia="Times New Roman" w:hAnsi="Times New Roman" w:cs="Times New Roman"/>
          <w:sz w:val="24"/>
          <w:szCs w:val="24"/>
          <w:lang w:eastAsia="hr-HR"/>
        </w:rPr>
        <w:t xml:space="preserve">škola stranih jezika </w:t>
      </w:r>
      <w:r w:rsidRPr="0082259E">
        <w:rPr>
          <w:rFonts w:ascii="Times New Roman" w:eastAsia="Times New Roman" w:hAnsi="Times New Roman" w:cs="Times New Roman"/>
          <w:bCs/>
          <w:sz w:val="24"/>
          <w:szCs w:val="24"/>
          <w:lang w:eastAsia="hr-HR"/>
        </w:rPr>
        <w:t xml:space="preserve">Helen </w:t>
      </w:r>
      <w:proofErr w:type="spellStart"/>
      <w:r w:rsidRPr="0082259E">
        <w:rPr>
          <w:rFonts w:ascii="Times New Roman" w:eastAsia="Times New Roman" w:hAnsi="Times New Roman" w:cs="Times New Roman"/>
          <w:bCs/>
          <w:sz w:val="24"/>
          <w:szCs w:val="24"/>
          <w:lang w:eastAsia="hr-HR"/>
        </w:rPr>
        <w:t>Doron</w:t>
      </w:r>
      <w:proofErr w:type="spellEnd"/>
      <w:r w:rsidRPr="0082259E">
        <w:rPr>
          <w:rFonts w:ascii="Times New Roman" w:eastAsia="Times New Roman" w:hAnsi="Times New Roman" w:cs="Times New Roman"/>
          <w:sz w:val="24"/>
          <w:szCs w:val="24"/>
          <w:lang w:eastAsia="hr-HR"/>
        </w:rPr>
        <w:t>, što povećava ukupnu frekvenciju korištenja učionica, sanitarnih prostora i zajedničkih prostorija. Takva razina korištenja prostora izravno utječe na brže trošenje opreme, veću potrošnju materijala i povećanu potrebu za održavanjem.</w:t>
      </w:r>
    </w:p>
    <w:p w:rsidR="0082259E" w:rsidRPr="0082259E" w:rsidRDefault="0082259E" w:rsidP="0082259E">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Zbog svega navedenog povećani su i troškovi </w:t>
      </w:r>
      <w:r w:rsidRPr="0082259E">
        <w:rPr>
          <w:rFonts w:ascii="Times New Roman" w:eastAsia="Times New Roman" w:hAnsi="Times New Roman" w:cs="Times New Roman"/>
          <w:bCs/>
          <w:sz w:val="24"/>
          <w:szCs w:val="24"/>
          <w:lang w:eastAsia="hr-HR"/>
        </w:rPr>
        <w:t>tekućeg i hitnog održavanja</w:t>
      </w:r>
      <w:r w:rsidRPr="0082259E">
        <w:rPr>
          <w:rFonts w:ascii="Times New Roman" w:eastAsia="Times New Roman" w:hAnsi="Times New Roman" w:cs="Times New Roman"/>
          <w:sz w:val="24"/>
          <w:szCs w:val="24"/>
          <w:lang w:eastAsia="hr-HR"/>
        </w:rPr>
        <w:t>, jer je tijekom godine bilo potrebno osigurati više intervencija na elektroinstalacijama, sanitarnim čvorovima, rasvjeti, bravariji i opremi. Redovito održavanje nužno je kako bi se osigurala sigurnost korisnika i neprekidan rad škole u produženom vremenskom okviru.</w:t>
      </w:r>
    </w:p>
    <w:p w:rsidR="0082259E" w:rsidRDefault="0082259E"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r w:rsidRPr="0082259E">
        <w:rPr>
          <w:rFonts w:ascii="Times New Roman" w:eastAsia="Times New Roman" w:hAnsi="Times New Roman" w:cs="Times New Roman"/>
          <w:sz w:val="24"/>
          <w:szCs w:val="24"/>
          <w:lang w:eastAsia="hr-HR"/>
        </w:rPr>
        <w:t xml:space="preserve">Povećanje materijalnih rashoda u rebalansu predstavlja realno usklađenje financijskog plana s proširenim obvezama i stvarnim potrebama škole te je nužno za nesmetano odvijanje redovne nastave, CDŠ programa, </w:t>
      </w:r>
      <w:r w:rsidR="006A58B0">
        <w:rPr>
          <w:rFonts w:ascii="Times New Roman" w:eastAsia="Times New Roman" w:hAnsi="Times New Roman" w:cs="Times New Roman"/>
          <w:sz w:val="24"/>
          <w:szCs w:val="24"/>
          <w:lang w:eastAsia="hr-HR"/>
        </w:rPr>
        <w:t xml:space="preserve">drugih </w:t>
      </w:r>
      <w:r w:rsidRPr="0082259E">
        <w:rPr>
          <w:rFonts w:ascii="Times New Roman" w:eastAsia="Times New Roman" w:hAnsi="Times New Roman" w:cs="Times New Roman"/>
          <w:sz w:val="24"/>
          <w:szCs w:val="24"/>
          <w:lang w:eastAsia="hr-HR"/>
        </w:rPr>
        <w:t>aktivnosti i korištenje školskog prostora od vanjskih korisnika.</w:t>
      </w:r>
    </w:p>
    <w:p w:rsidR="00D268FC" w:rsidRDefault="00D268FC"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D268FC" w:rsidRDefault="00D268FC"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D268FC" w:rsidRPr="006A58B0" w:rsidRDefault="00D268FC"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7C5261" w:rsidRDefault="007C5261" w:rsidP="007C5261">
      <w:pPr>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9C6041">
        <w:rPr>
          <w:rFonts w:ascii="Times New Roman" w:eastAsia="Times New Roman" w:hAnsi="Times New Roman" w:cs="Times New Roman"/>
          <w:b/>
          <w:bCs/>
          <w:sz w:val="24"/>
          <w:szCs w:val="24"/>
          <w:lang w:eastAsia="hr-HR"/>
        </w:rPr>
        <w:lastRenderedPageBreak/>
        <w:t>5.6 Nabava nefinancijske imovine (41)</w:t>
      </w:r>
    </w:p>
    <w:p w:rsidR="006A58B0" w:rsidRPr="006A58B0" w:rsidRDefault="006A58B0"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A58B0">
        <w:rPr>
          <w:rFonts w:ascii="Times New Roman" w:eastAsia="Times New Roman" w:hAnsi="Times New Roman" w:cs="Times New Roman"/>
          <w:sz w:val="24"/>
          <w:szCs w:val="24"/>
          <w:lang w:eastAsia="hr-HR"/>
        </w:rPr>
        <w:t>Rebalansom su povećana sredstva za nabavu nefinancijske imovine kako bi se osigurali nužni uvjeti za provedbu suvremenih obrazovnih programa, digitalizaciju nastave i Cjelodnevnu školu (CDŠ). Tijekom godine iskazana je potreba za novom opremom i namještajem, budući da postojeći dijelom nije dovoljno funkcionalan ni prilagođen novim oblicima rada učenika.</w:t>
      </w:r>
    </w:p>
    <w:p w:rsidR="006A58B0" w:rsidRPr="006A58B0" w:rsidRDefault="006A58B0"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A58B0">
        <w:rPr>
          <w:rFonts w:ascii="Times New Roman" w:eastAsia="Times New Roman" w:hAnsi="Times New Roman" w:cs="Times New Roman"/>
          <w:sz w:val="24"/>
          <w:szCs w:val="24"/>
          <w:lang w:eastAsia="hr-HR"/>
        </w:rPr>
        <w:t>Dio sredstava namijenjen je opremanju školske zvjezdarnice i osiguranju funkcionalnosti instrumenata te sigurnosti radionica. Također je predviđena nabava digitalne i informatičke opreme (računala, projektori, interaktivni uređaji, mrežna oprema) za modernizaciju nastave i rad u CDŠ programu, s obzirom na povećan broj sati rada učionica i učenika.</w:t>
      </w:r>
    </w:p>
    <w:p w:rsidR="006A58B0" w:rsidRPr="006A58B0" w:rsidRDefault="006A58B0"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A58B0">
        <w:rPr>
          <w:rFonts w:ascii="Times New Roman" w:eastAsia="Times New Roman" w:hAnsi="Times New Roman" w:cs="Times New Roman"/>
          <w:sz w:val="24"/>
          <w:szCs w:val="24"/>
          <w:lang w:eastAsia="hr-HR"/>
        </w:rPr>
        <w:t>Sredstva su osigurana i za nabavu namještaja i opreme potrebne za B1 aktivnosti u sklopu CDŠ, koje uključuju kreativne i radioničke sadržaje te rad u skupinama. Postojeći namještaj nije dovoljno fleksibilan ni ergonomičan, stoga je nabava novog nužna za siguran i funkcionalan rad te organizaciju prostora prema didaktičkim zahtjevima programa.</w:t>
      </w:r>
    </w:p>
    <w:p w:rsidR="006A58B0" w:rsidRDefault="006A58B0" w:rsidP="006A58B0">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A58B0">
        <w:rPr>
          <w:rFonts w:ascii="Times New Roman" w:eastAsia="Times New Roman" w:hAnsi="Times New Roman" w:cs="Times New Roman"/>
          <w:sz w:val="24"/>
          <w:szCs w:val="24"/>
          <w:lang w:eastAsia="hr-HR"/>
        </w:rPr>
        <w:t xml:space="preserve">Sve nabave predstavljaju dugoročna ulaganja u kvalitetu nastave i sigurnost učenika, u skladu s razvojnim prioritetima škole i obvezama </w:t>
      </w:r>
      <w:proofErr w:type="spellStart"/>
      <w:r w:rsidRPr="006A58B0">
        <w:rPr>
          <w:rFonts w:ascii="Times New Roman" w:eastAsia="Times New Roman" w:hAnsi="Times New Roman" w:cs="Times New Roman"/>
          <w:sz w:val="24"/>
          <w:szCs w:val="24"/>
          <w:lang w:eastAsia="hr-HR"/>
        </w:rPr>
        <w:t>kurikularnih</w:t>
      </w:r>
      <w:proofErr w:type="spellEnd"/>
      <w:r w:rsidRPr="006A58B0">
        <w:rPr>
          <w:rFonts w:ascii="Times New Roman" w:eastAsia="Times New Roman" w:hAnsi="Times New Roman" w:cs="Times New Roman"/>
          <w:sz w:val="24"/>
          <w:szCs w:val="24"/>
          <w:lang w:eastAsia="hr-HR"/>
        </w:rPr>
        <w:t xml:space="preserve"> promjena. Ulaganja u nefinancijsku imovinu ključna su za modernizaciju školskog prostora i opreme te praćenje pedagoških standarda.</w:t>
      </w:r>
    </w:p>
    <w:p w:rsidR="00FC2DF5" w:rsidRDefault="00FC2DF5" w:rsidP="00FC2DF5">
      <w:pPr>
        <w:spacing w:before="100" w:beforeAutospacing="1" w:after="100" w:afterAutospacing="1" w:line="360" w:lineRule="auto"/>
        <w:jc w:val="center"/>
        <w:rPr>
          <w:rFonts w:ascii="Times New Roman" w:eastAsia="Times New Roman" w:hAnsi="Times New Roman" w:cs="Times New Roman"/>
          <w:sz w:val="24"/>
          <w:szCs w:val="24"/>
          <w:lang w:eastAsia="hr-HR"/>
        </w:rPr>
      </w:pPr>
      <w:r w:rsidRPr="00FC2DF5">
        <w:rPr>
          <w:rFonts w:ascii="Arial" w:eastAsia="Times New Roman" w:hAnsi="Arial" w:cs="Arial"/>
          <w:color w:val="000000"/>
          <w:sz w:val="20"/>
          <w:szCs w:val="20"/>
          <w:lang w:eastAsia="hr-HR"/>
        </w:rPr>
        <w:t>RASHODI PREMA EKONOMSKOJ KLASIFIKACIJI</w:t>
      </w:r>
    </w:p>
    <w:tbl>
      <w:tblPr>
        <w:tblpPr w:leftFromText="180" w:rightFromText="180" w:vertAnchor="text" w:horzAnchor="margin" w:tblpXSpec="center" w:tblpY="257"/>
        <w:tblW w:w="10220" w:type="dxa"/>
        <w:tblLook w:val="04A0" w:firstRow="1" w:lastRow="0" w:firstColumn="1" w:lastColumn="0" w:noHBand="0" w:noVBand="1"/>
      </w:tblPr>
      <w:tblGrid>
        <w:gridCol w:w="918"/>
        <w:gridCol w:w="3825"/>
        <w:gridCol w:w="1772"/>
        <w:gridCol w:w="1835"/>
        <w:gridCol w:w="1870"/>
      </w:tblGrid>
      <w:tr w:rsidR="00FC2DF5" w:rsidRPr="00FC2DF5" w:rsidTr="00FC2DF5">
        <w:trPr>
          <w:trHeight w:val="555"/>
        </w:trPr>
        <w:tc>
          <w:tcPr>
            <w:tcW w:w="918"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Razred/ skupina</w:t>
            </w:r>
          </w:p>
        </w:tc>
        <w:tc>
          <w:tcPr>
            <w:tcW w:w="3825"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Naziv rashoda</w:t>
            </w:r>
          </w:p>
        </w:tc>
        <w:tc>
          <w:tcPr>
            <w:tcW w:w="1772"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Plan 2025.</w:t>
            </w:r>
          </w:p>
        </w:tc>
        <w:tc>
          <w:tcPr>
            <w:tcW w:w="1835"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Povećanje/smanjenje</w:t>
            </w:r>
          </w:p>
        </w:tc>
        <w:tc>
          <w:tcPr>
            <w:tcW w:w="187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Novi plan 2025.</w:t>
            </w:r>
          </w:p>
        </w:tc>
      </w:tr>
      <w:tr w:rsidR="00FC2DF5" w:rsidRPr="00FC2DF5" w:rsidTr="00FC2DF5">
        <w:trPr>
          <w:trHeight w:val="24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5</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 </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UKUPNO RASHODI</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1.292.894,98</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58.411,41</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1.351.306,39</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Rashodi poslovanja</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1.231.195,89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48.510,50</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1.279.706,39</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31</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zaposlene</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989.900,00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13.000,00</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1.002.900,00</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212.562,80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39.826,04</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252.388,84</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34</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Financijski rashodi</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8,09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-2,04</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6,05</w:t>
            </w:r>
          </w:p>
        </w:tc>
      </w:tr>
      <w:tr w:rsidR="00FC2DF5" w:rsidRPr="00FC2DF5" w:rsidTr="00FC2DF5">
        <w:trPr>
          <w:trHeight w:val="405"/>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37</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Naknade građanima i kućanstvima na temelju osiguranja i druge naknade</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28.500,00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-4.300,00</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24.200,00</w:t>
            </w:r>
          </w:p>
        </w:tc>
      </w:tr>
      <w:tr w:rsidR="00FC2DF5" w:rsidRPr="00FC2DF5" w:rsidTr="00FC2DF5">
        <w:trPr>
          <w:trHeight w:val="42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38</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donacije, kazne, naknade šteta i kapitalne pomoći</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225,00</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-13,50</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211,50</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Rashodi za nabavu nefinancijske imovine</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61.699,09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9.900,91</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71.600,00</w:t>
            </w:r>
          </w:p>
        </w:tc>
      </w:tr>
      <w:tr w:rsidR="00FC2DF5" w:rsidRPr="00FC2DF5" w:rsidTr="00FC2DF5">
        <w:trPr>
          <w:trHeight w:val="360"/>
        </w:trPr>
        <w:tc>
          <w:tcPr>
            <w:tcW w:w="918"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42</w:t>
            </w:r>
          </w:p>
        </w:tc>
        <w:tc>
          <w:tcPr>
            <w:tcW w:w="382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proizvedene dugotrajne imovine</w:t>
            </w:r>
          </w:p>
        </w:tc>
        <w:tc>
          <w:tcPr>
            <w:tcW w:w="1772"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61.699,09</w:t>
            </w:r>
          </w:p>
        </w:tc>
        <w:tc>
          <w:tcPr>
            <w:tcW w:w="1835"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9.900,91</w:t>
            </w:r>
          </w:p>
        </w:tc>
        <w:tc>
          <w:tcPr>
            <w:tcW w:w="187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71.600,00</w:t>
            </w:r>
          </w:p>
        </w:tc>
      </w:tr>
    </w:tbl>
    <w:p w:rsidR="00FC3D2C" w:rsidRPr="00FC2DF5" w:rsidRDefault="00FC3D2C" w:rsidP="00FC2DF5">
      <w:pPr>
        <w:spacing w:before="100" w:beforeAutospacing="1" w:after="100" w:afterAutospacing="1" w:line="360" w:lineRule="auto"/>
        <w:jc w:val="both"/>
        <w:rPr>
          <w:rFonts w:ascii="Times New Roman" w:eastAsia="Times New Roman" w:hAnsi="Times New Roman" w:cs="Times New Roman"/>
          <w:sz w:val="24"/>
          <w:szCs w:val="24"/>
          <w:lang w:eastAsia="hr-HR"/>
        </w:rPr>
      </w:pP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lastRenderedPageBreak/>
        <w:t xml:space="preserve">6. Programska klasifikacija </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Programska klasifikacija u rebalansu razrađuje raspodjelu sredstava po programima i njihovim rezultatima. Najznačajnije izmjene u programskoj klasifikaciji odnose se na slijedeće programe:</w:t>
      </w:r>
    </w:p>
    <w:p w:rsidR="007C5261" w:rsidRPr="007C5261" w:rsidRDefault="007C5261" w:rsidP="007C526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Program osnovnog odgoja i obrazovanja: povećanje sredstava radi provođenja CDŠ, većeg broja izvannastavnih aktivnosti i povećanih materijalnih troškova.</w:t>
      </w:r>
    </w:p>
    <w:p w:rsidR="007C5261" w:rsidRPr="007C5261" w:rsidRDefault="007C5261" w:rsidP="007C526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Predškolski program: korekcija radi financijske potpore Općine i usklađenja plaće zaposlenice </w:t>
      </w:r>
      <w:proofErr w:type="spellStart"/>
      <w:r w:rsidRPr="007C5261">
        <w:rPr>
          <w:rFonts w:ascii="Times New Roman" w:eastAsia="Times New Roman" w:hAnsi="Times New Roman" w:cs="Times New Roman"/>
          <w:sz w:val="24"/>
          <w:szCs w:val="24"/>
          <w:lang w:eastAsia="hr-HR"/>
        </w:rPr>
        <w:t>predškole</w:t>
      </w:r>
      <w:proofErr w:type="spellEnd"/>
      <w:r w:rsidRPr="007C5261">
        <w:rPr>
          <w:rFonts w:ascii="Times New Roman" w:eastAsia="Times New Roman" w:hAnsi="Times New Roman" w:cs="Times New Roman"/>
          <w:sz w:val="24"/>
          <w:szCs w:val="24"/>
          <w:lang w:eastAsia="hr-HR"/>
        </w:rPr>
        <w:t>.</w:t>
      </w:r>
    </w:p>
    <w:p w:rsidR="007C5261" w:rsidRDefault="007C5261" w:rsidP="00FC2DF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Program prehrane učenika: povećanje radi većeg broja obroka i povećanih cijena namirnica; osigurano sufinanciranje za učenike uključenih u CDŠ.</w:t>
      </w:r>
    </w:p>
    <w:tbl>
      <w:tblPr>
        <w:tblpPr w:leftFromText="180" w:rightFromText="180" w:vertAnchor="text" w:horzAnchor="margin" w:tblpXSpec="center" w:tblpY="-1416"/>
        <w:tblW w:w="10220" w:type="dxa"/>
        <w:tblLook w:val="04A0" w:firstRow="1" w:lastRow="0" w:firstColumn="1" w:lastColumn="0" w:noHBand="0" w:noVBand="1"/>
      </w:tblPr>
      <w:tblGrid>
        <w:gridCol w:w="2160"/>
        <w:gridCol w:w="3740"/>
        <w:gridCol w:w="1440"/>
        <w:gridCol w:w="1440"/>
        <w:gridCol w:w="1440"/>
      </w:tblGrid>
      <w:tr w:rsidR="00FC2DF5" w:rsidRPr="00FC2DF5" w:rsidTr="00FC2DF5">
        <w:trPr>
          <w:trHeight w:val="315"/>
        </w:trPr>
        <w:tc>
          <w:tcPr>
            <w:tcW w:w="10220" w:type="dxa"/>
            <w:gridSpan w:val="5"/>
            <w:tcBorders>
              <w:top w:val="nil"/>
              <w:left w:val="nil"/>
              <w:bottom w:val="nil"/>
              <w:right w:val="nil"/>
            </w:tcBorders>
            <w:shd w:val="clear" w:color="auto" w:fill="auto"/>
            <w:hideMark/>
          </w:tcPr>
          <w:p w:rsidR="00FC2DF5" w:rsidRPr="00FC2DF5" w:rsidRDefault="00FC2DF5" w:rsidP="00FC2DF5">
            <w:pPr>
              <w:spacing w:after="0" w:line="240" w:lineRule="auto"/>
              <w:jc w:val="center"/>
              <w:rPr>
                <w:rFonts w:ascii="Arial" w:eastAsia="Times New Roman" w:hAnsi="Arial" w:cs="Arial"/>
                <w:b/>
                <w:bCs/>
                <w:color w:val="000000"/>
                <w:sz w:val="20"/>
                <w:szCs w:val="20"/>
                <w:lang w:eastAsia="hr-HR"/>
              </w:rPr>
            </w:pPr>
            <w:r w:rsidRPr="00FC2DF5">
              <w:rPr>
                <w:rFonts w:ascii="Arial" w:eastAsia="Times New Roman" w:hAnsi="Arial" w:cs="Arial"/>
                <w:b/>
                <w:bCs/>
                <w:color w:val="000000"/>
                <w:sz w:val="20"/>
                <w:szCs w:val="20"/>
                <w:lang w:eastAsia="hr-HR"/>
              </w:rPr>
              <w:lastRenderedPageBreak/>
              <w:t>II. POSEBNI DIO</w:t>
            </w:r>
          </w:p>
        </w:tc>
      </w:tr>
      <w:tr w:rsidR="00FC2DF5" w:rsidRPr="00FC2DF5" w:rsidTr="00FC2DF5">
        <w:trPr>
          <w:trHeight w:val="105"/>
        </w:trPr>
        <w:tc>
          <w:tcPr>
            <w:tcW w:w="216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jc w:val="center"/>
              <w:rPr>
                <w:rFonts w:ascii="Arial" w:eastAsia="Times New Roman" w:hAnsi="Arial" w:cs="Arial"/>
                <w:b/>
                <w:bCs/>
                <w:color w:val="000000"/>
                <w:sz w:val="20"/>
                <w:szCs w:val="20"/>
                <w:lang w:eastAsia="hr-HR"/>
              </w:rPr>
            </w:pPr>
          </w:p>
        </w:tc>
        <w:tc>
          <w:tcPr>
            <w:tcW w:w="37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r>
      <w:tr w:rsidR="00FC2DF5" w:rsidRPr="00FC2DF5" w:rsidTr="00FC2DF5">
        <w:trPr>
          <w:trHeight w:val="315"/>
        </w:trPr>
        <w:tc>
          <w:tcPr>
            <w:tcW w:w="10220" w:type="dxa"/>
            <w:gridSpan w:val="5"/>
            <w:tcBorders>
              <w:top w:val="nil"/>
              <w:left w:val="nil"/>
              <w:bottom w:val="nil"/>
              <w:right w:val="nil"/>
            </w:tcBorders>
            <w:shd w:val="clear" w:color="auto" w:fill="auto"/>
            <w:hideMark/>
          </w:tcPr>
          <w:p w:rsidR="00FC2DF5" w:rsidRPr="00FC2DF5" w:rsidRDefault="00FC2DF5" w:rsidP="00FC2DF5">
            <w:pPr>
              <w:spacing w:after="0" w:line="240" w:lineRule="auto"/>
              <w:jc w:val="center"/>
              <w:rPr>
                <w:rFonts w:ascii="Arial" w:eastAsia="Times New Roman" w:hAnsi="Arial" w:cs="Arial"/>
                <w:color w:val="000000"/>
                <w:sz w:val="20"/>
                <w:szCs w:val="20"/>
                <w:lang w:eastAsia="hr-HR"/>
              </w:rPr>
            </w:pPr>
            <w:r w:rsidRPr="00FC2DF5">
              <w:rPr>
                <w:rFonts w:ascii="Arial" w:eastAsia="Times New Roman" w:hAnsi="Arial" w:cs="Arial"/>
                <w:color w:val="000000"/>
                <w:sz w:val="20"/>
                <w:szCs w:val="20"/>
                <w:lang w:eastAsia="hr-HR"/>
              </w:rPr>
              <w:t>PROGRAMSKA KLASIFIKACIJA</w:t>
            </w:r>
          </w:p>
        </w:tc>
      </w:tr>
      <w:tr w:rsidR="00FC2DF5" w:rsidRPr="00FC2DF5" w:rsidTr="00FC2DF5">
        <w:trPr>
          <w:trHeight w:val="90"/>
        </w:trPr>
        <w:tc>
          <w:tcPr>
            <w:tcW w:w="216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jc w:val="center"/>
              <w:rPr>
                <w:rFonts w:ascii="Arial" w:eastAsia="Times New Roman" w:hAnsi="Arial" w:cs="Arial"/>
                <w:color w:val="000000"/>
                <w:sz w:val="20"/>
                <w:szCs w:val="20"/>
                <w:lang w:eastAsia="hr-HR"/>
              </w:rPr>
            </w:pPr>
          </w:p>
        </w:tc>
        <w:tc>
          <w:tcPr>
            <w:tcW w:w="37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c>
          <w:tcPr>
            <w:tcW w:w="1440" w:type="dxa"/>
            <w:tcBorders>
              <w:top w:val="nil"/>
              <w:left w:val="nil"/>
              <w:bottom w:val="nil"/>
              <w:right w:val="nil"/>
            </w:tcBorders>
            <w:shd w:val="clear" w:color="auto" w:fill="auto"/>
            <w:noWrap/>
            <w:vAlign w:val="bottom"/>
            <w:hideMark/>
          </w:tcPr>
          <w:p w:rsidR="00FC2DF5" w:rsidRPr="00FC2DF5" w:rsidRDefault="00FC2DF5" w:rsidP="00FC2DF5">
            <w:pPr>
              <w:spacing w:after="0" w:line="240" w:lineRule="auto"/>
              <w:rPr>
                <w:rFonts w:ascii="Times New Roman" w:eastAsia="Times New Roman" w:hAnsi="Times New Roman" w:cs="Times New Roman"/>
                <w:sz w:val="20"/>
                <w:szCs w:val="20"/>
                <w:lang w:eastAsia="hr-HR"/>
              </w:rPr>
            </w:pPr>
          </w:p>
        </w:tc>
      </w:tr>
      <w:tr w:rsidR="00FC2DF5" w:rsidRPr="00FC2DF5" w:rsidTr="00FC2DF5">
        <w:trPr>
          <w:trHeight w:val="555"/>
        </w:trPr>
        <w:tc>
          <w:tcPr>
            <w:tcW w:w="21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Šifra</w:t>
            </w:r>
          </w:p>
        </w:tc>
        <w:tc>
          <w:tcPr>
            <w:tcW w:w="374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Naziv</w:t>
            </w:r>
          </w:p>
        </w:tc>
        <w:tc>
          <w:tcPr>
            <w:tcW w:w="144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Plan 2025.</w:t>
            </w:r>
          </w:p>
        </w:tc>
        <w:tc>
          <w:tcPr>
            <w:tcW w:w="144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Povećanje / smanjenje</w:t>
            </w:r>
          </w:p>
        </w:tc>
        <w:tc>
          <w:tcPr>
            <w:tcW w:w="1440" w:type="dxa"/>
            <w:tcBorders>
              <w:top w:val="single" w:sz="4" w:space="0" w:color="000000"/>
              <w:left w:val="nil"/>
              <w:bottom w:val="single" w:sz="4" w:space="0" w:color="000000"/>
              <w:right w:val="single" w:sz="4" w:space="0" w:color="000000"/>
            </w:tcBorders>
            <w:shd w:val="clear" w:color="000000" w:fill="DCDCDC"/>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Novi plan 2025.</w:t>
            </w:r>
          </w:p>
        </w:tc>
      </w:tr>
      <w:tr w:rsidR="00FC2DF5" w:rsidRPr="00FC2DF5" w:rsidTr="00FC2DF5">
        <w:trPr>
          <w:trHeight w:val="24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center"/>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5</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PROGRAM    1023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FINANCIRANJE ŠKOLSTVA IZVAN ŽUPANIJSKOG PRORAČUNA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1.219.252,18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33.057,87</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1.252.310,05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Aktivnost A1023 01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VLASTITI PRIHODI-OSNOVNO ŠKOLSTVO</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1.219.252,18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33.057,87</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1.252.310,05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31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Vlastiti prihodi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-0,04</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-0,04</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Financijski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-0,04</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43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Ostali prihodi za posebne namjene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5.000,00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-2.475,00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2.525,00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-475,00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1.525,00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-475,00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1.525,00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nefinancijske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proizvedene dugotrajne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1.212.752,09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35.482,91</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1.248.235,00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1.155.053,00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23.582,00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1.178.635,00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zaposlene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989.900,00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1.002.900,00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136.653,00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14.882,00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151.535,00</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37</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Naknade građanima i kućanstvima na temelju osiguranja i druge naknade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-4.300,00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24.200,00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nefinancijske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57.699,09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11.900,91</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69.600,00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proizvedene dugotrajne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57.699,09</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11.900,91</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69.600,00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61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Donacije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50,00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1.550,00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1.550,00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50,00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1.550,00</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PROGRAM    1052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JAVNE POTREBE U ODGOJNO-OBRAZOVNOM SUSTAVU VSŽ</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43.356,80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17.945,88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61.302,68</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Tekući projekt T1052 05</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ŠKOLSKA PREHRANA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35.000,00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31.000,00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4.000,00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35.000,00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35.000,00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35.000,00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Aktivnost A1052 09</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ŠKOLSKI MEDNI DAN</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30,00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Tekući projekt T1052 03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ŠKOLSKA SHEMA VOĆA, POVRĆA I MLIJEKA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1.407,40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1.181,48</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281,48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281,48</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281,48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281,48</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281,48</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281,48</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POMOĆI EU</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1.125,92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900,00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900,00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lastRenderedPageBreak/>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1.125,92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-225,92</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900,00</w:t>
            </w:r>
          </w:p>
        </w:tc>
      </w:tr>
      <w:tr w:rsidR="00FC2DF5" w:rsidRPr="00FC2DF5" w:rsidTr="00FC2DF5">
        <w:trPr>
          <w:trHeight w:val="60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Kapitalni projekt K1052 03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ULAGANJE U ŠKOLSKE OBJEKTE - DVORANA LENIJE I OŠ F.HANAMAN DRENOVCI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10.500,00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1.847,65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11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Opći prihodi i primici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10.500,00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1.847,65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1.847,65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10.500,00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1.847,65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Tekući projekt T1052 06</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PREDŠKOLSKI ODGOJ</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194,40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194,40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194,40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194,40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194,40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194,40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194,40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194,40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Tekući projekt T1052 07</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HIGIJENSKE POTREPŠTINE (PROJEKT MROSP-A)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-13,50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211,50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51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OSTALE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-13,50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211,50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-13,50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211,50</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38</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donacije, kazne, naknade šteta i kapitalne pomoći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-13,50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211,50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Aktivnost A1052 04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TEKUĆE POMOĆI ZA POBOLJŠAVANJE UVJETA RADA OŠ I SŠ VSŽ</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12.347,65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11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Opći prihodi i primici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12.347,65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12.347,65</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PROGRAM    1054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 xml:space="preserve">FINANCIRANJE OŠ PREMA MINIMALNOM STANDARDU </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30.286,00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7.407,66</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37.693,66</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Aktivnost A01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FINANCIJSKI I MATERIJALNI RASHODI OŠ (STVARNI TROŠKOVI)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15.225,00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4.003,66</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19.228,66</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48</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PRIHODI ZA POSEBNE NAMJENE - DEC</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15.225,00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4.003,66</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19.228,66</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4.003,66</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19.228,66</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15.225,00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4.003,66</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19.228,66</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Aktivnost A02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OPĆI TROŠKOVI OŠ (MATERIJALNI TROŠKOVI)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12.965,00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14.965,00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48</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PRIHODI ZA POSEBNE NAMJENE - DEC</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12.965,00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14.965,00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12.965,00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14.965,00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12.957,00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2.002,00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14.959,00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Financijski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8,00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6,00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Kapitalni projekt K01</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IZGRADNJA, REKONSTRUKCIJA, ADAPTACIJA I OPREMANJE OBJEKATA OŠ</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48</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PRIHODI ZA POSEBNE NAMJENE - DEC</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1.000,00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nefinancijske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r>
      <w:tr w:rsidR="00FC2DF5" w:rsidRPr="00FC2DF5" w:rsidTr="00FC2DF5">
        <w:trPr>
          <w:trHeight w:val="405"/>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42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za nabavu proizvedene dugotrajne imovine</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0,00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1.000,00</w:t>
            </w:r>
          </w:p>
        </w:tc>
      </w:tr>
      <w:tr w:rsidR="00FC2DF5" w:rsidRPr="00FC2DF5" w:rsidTr="00FC2DF5">
        <w:trPr>
          <w:trHeight w:val="42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Kapitalni projekt K02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TEKUĆE, HITNO I PLANSKO ODRŽAVANJE OBJEKATA I OPREME OŠ</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1.096,00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1.404,00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b/>
                <w:bCs/>
                <w:color w:val="000000"/>
                <w:sz w:val="16"/>
                <w:szCs w:val="16"/>
                <w:lang w:eastAsia="hr-HR"/>
              </w:rPr>
            </w:pPr>
            <w:r w:rsidRPr="00FC2DF5">
              <w:rPr>
                <w:rFonts w:ascii="Arial" w:eastAsia="Times New Roman" w:hAnsi="Arial" w:cs="Arial"/>
                <w:b/>
                <w:bCs/>
                <w:color w:val="000000"/>
                <w:sz w:val="16"/>
                <w:szCs w:val="16"/>
                <w:lang w:eastAsia="hr-HR"/>
              </w:rPr>
              <w:t>2.500,00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Izvor financiranja   48</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PRIHODI ZA POSEBNE NAMJENE - DEC</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1.096,00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1.404,00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i/>
                <w:iCs/>
                <w:color w:val="000000"/>
                <w:sz w:val="16"/>
                <w:szCs w:val="16"/>
                <w:lang w:eastAsia="hr-HR"/>
              </w:rPr>
            </w:pPr>
            <w:r w:rsidRPr="00FC2DF5">
              <w:rPr>
                <w:rFonts w:ascii="Arial" w:eastAsia="Times New Roman" w:hAnsi="Arial" w:cs="Arial"/>
                <w:i/>
                <w:iCs/>
                <w:color w:val="000000"/>
                <w:sz w:val="16"/>
                <w:szCs w:val="16"/>
                <w:lang w:eastAsia="hr-HR"/>
              </w:rPr>
              <w:t>2.500,00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Rashodi poslovanja</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1.096,00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1.404,00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2.500,00</w:t>
            </w:r>
          </w:p>
        </w:tc>
      </w:tr>
      <w:tr w:rsidR="00FC2DF5" w:rsidRPr="00FC2DF5" w:rsidTr="00FC2DF5">
        <w:trPr>
          <w:trHeight w:val="360"/>
        </w:trPr>
        <w:tc>
          <w:tcPr>
            <w:tcW w:w="2160" w:type="dxa"/>
            <w:tcBorders>
              <w:top w:val="nil"/>
              <w:left w:val="single" w:sz="4" w:space="0" w:color="000000"/>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32</w:t>
            </w:r>
          </w:p>
        </w:tc>
        <w:tc>
          <w:tcPr>
            <w:tcW w:w="37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Materijalni rashodi</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1.096,00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1.404,00</w:t>
            </w:r>
          </w:p>
        </w:tc>
        <w:tc>
          <w:tcPr>
            <w:tcW w:w="1440" w:type="dxa"/>
            <w:tcBorders>
              <w:top w:val="nil"/>
              <w:left w:val="nil"/>
              <w:bottom w:val="single" w:sz="4" w:space="0" w:color="000000"/>
              <w:right w:val="single" w:sz="4" w:space="0" w:color="000000"/>
            </w:tcBorders>
            <w:shd w:val="clear" w:color="auto" w:fill="auto"/>
            <w:vAlign w:val="center"/>
            <w:hideMark/>
          </w:tcPr>
          <w:p w:rsidR="00FC2DF5" w:rsidRPr="00FC2DF5" w:rsidRDefault="00FC2DF5" w:rsidP="00FC2DF5">
            <w:pPr>
              <w:spacing w:after="0" w:line="240" w:lineRule="auto"/>
              <w:jc w:val="right"/>
              <w:rPr>
                <w:rFonts w:ascii="Arial" w:eastAsia="Times New Roman" w:hAnsi="Arial" w:cs="Arial"/>
                <w:color w:val="000000"/>
                <w:sz w:val="16"/>
                <w:szCs w:val="16"/>
                <w:lang w:eastAsia="hr-HR"/>
              </w:rPr>
            </w:pPr>
            <w:r w:rsidRPr="00FC2DF5">
              <w:rPr>
                <w:rFonts w:ascii="Arial" w:eastAsia="Times New Roman" w:hAnsi="Arial" w:cs="Arial"/>
                <w:color w:val="000000"/>
                <w:sz w:val="16"/>
                <w:szCs w:val="16"/>
                <w:lang w:eastAsia="hr-HR"/>
              </w:rPr>
              <w:t>2.500,00</w:t>
            </w:r>
          </w:p>
        </w:tc>
      </w:tr>
    </w:tbl>
    <w:p w:rsidR="00FC2DF5" w:rsidRPr="00FC2DF5" w:rsidRDefault="00FC2DF5" w:rsidP="00FC3D2C">
      <w:pPr>
        <w:spacing w:before="100" w:beforeAutospacing="1" w:after="100" w:afterAutospacing="1" w:line="360" w:lineRule="auto"/>
        <w:ind w:left="720"/>
        <w:jc w:val="both"/>
        <w:rPr>
          <w:rFonts w:ascii="Times New Roman" w:eastAsia="Times New Roman" w:hAnsi="Times New Roman" w:cs="Times New Roman"/>
          <w:sz w:val="24"/>
          <w:szCs w:val="24"/>
          <w:lang w:eastAsia="hr-HR"/>
        </w:rPr>
      </w:pPr>
      <w:r>
        <w:rPr>
          <w:lang w:eastAsia="hr-HR"/>
        </w:rPr>
        <w:t xml:space="preserve"> </w:t>
      </w: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lastRenderedPageBreak/>
        <w:t>7. Račun financiranja i preneseni višak/manjak</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Rebalansom je izvršen račun financiranja kojim su usklađeni ukupni primici i izdaci kako bi proračun ostao uravnotežen. Preneseni višak/manjak iz prethodnog razdoblja analiziran je prema stvarnom stanju na početku 2025. godine i korekcijama u planu. </w:t>
      </w:r>
    </w:p>
    <w:p w:rsidR="007C5261" w:rsidRPr="007C5261" w:rsidRDefault="007C5261" w:rsidP="007C5261">
      <w:pPr>
        <w:spacing w:after="0" w:line="360" w:lineRule="auto"/>
        <w:jc w:val="both"/>
        <w:rPr>
          <w:rFonts w:ascii="Times New Roman" w:eastAsia="Times New Roman" w:hAnsi="Times New Roman" w:cs="Times New Roman"/>
          <w:sz w:val="24"/>
          <w:szCs w:val="24"/>
          <w:lang w:eastAsia="hr-HR"/>
        </w:rPr>
      </w:pP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t>8. Procjena učinaka rebalansa na rad škole i rizici</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Rebalans osigurava financijska sredstva potrebna za nesmetanu provedbu nastavnih i izvannastavnih aktivnosti u 2025. godini. Posebno je osigurana provedba CDŠ, prehrana učenika i osiguranje tehničke i didaktičke </w:t>
      </w:r>
      <w:r w:rsidR="006A58B0">
        <w:rPr>
          <w:rFonts w:ascii="Times New Roman" w:eastAsia="Times New Roman" w:hAnsi="Times New Roman" w:cs="Times New Roman"/>
          <w:sz w:val="24"/>
          <w:szCs w:val="24"/>
          <w:lang w:eastAsia="hr-HR"/>
        </w:rPr>
        <w:t xml:space="preserve">opreme. </w:t>
      </w:r>
      <w:r w:rsidRPr="007C5261">
        <w:rPr>
          <w:rFonts w:ascii="Times New Roman" w:eastAsia="Times New Roman" w:hAnsi="Times New Roman" w:cs="Times New Roman"/>
          <w:sz w:val="24"/>
          <w:szCs w:val="24"/>
          <w:lang w:eastAsia="hr-HR"/>
        </w:rPr>
        <w:t>Rebalans smanjuje rizik neizvršenja obveza prema dobavljačima i zaposlenicima, osigurava sredstva za hitno održavanje i smanjuje rizik smanjenja kvalitete nastave.</w:t>
      </w:r>
    </w:p>
    <w:p w:rsidR="007C5261" w:rsidRPr="007C5261" w:rsidRDefault="007C5261" w:rsidP="006B04FC">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Međutim, rebalans ostavlja i određene rizike koji se moraju pratiti: moguće daljnje povećanje troškova energenata, neizvjesnost u dinamici uplata za posebne programe, kašnjenja u transferima sredstava od nadležnih tijela te neočekivani troškovi sanacije ili investicija. Preporučuje se kontinuirano praćenje </w:t>
      </w:r>
      <w:r w:rsidR="006B04FC">
        <w:rPr>
          <w:rFonts w:ascii="Times New Roman" w:eastAsia="Times New Roman" w:hAnsi="Times New Roman" w:cs="Times New Roman"/>
          <w:sz w:val="24"/>
          <w:szCs w:val="24"/>
          <w:lang w:eastAsia="hr-HR"/>
        </w:rPr>
        <w:t>ostvarenja</w:t>
      </w:r>
      <w:r w:rsidRPr="007C5261">
        <w:rPr>
          <w:rFonts w:ascii="Times New Roman" w:eastAsia="Times New Roman" w:hAnsi="Times New Roman" w:cs="Times New Roman"/>
          <w:sz w:val="24"/>
          <w:szCs w:val="24"/>
          <w:lang w:eastAsia="hr-HR"/>
        </w:rPr>
        <w:t xml:space="preserve"> plana i mjesečno izvještavanje školskog upravnog tijela i školskog odbora.</w:t>
      </w:r>
    </w:p>
    <w:p w:rsidR="007C5261" w:rsidRPr="006B04FC" w:rsidRDefault="007C5261" w:rsidP="007C5261">
      <w:pPr>
        <w:spacing w:before="100" w:beforeAutospacing="1" w:after="100" w:afterAutospacing="1" w:line="360" w:lineRule="auto"/>
        <w:jc w:val="both"/>
        <w:outlineLvl w:val="1"/>
        <w:rPr>
          <w:rFonts w:ascii="Times New Roman" w:eastAsia="Times New Roman" w:hAnsi="Times New Roman" w:cs="Times New Roman"/>
          <w:b/>
          <w:bCs/>
          <w:sz w:val="28"/>
          <w:szCs w:val="28"/>
          <w:lang w:eastAsia="hr-HR"/>
        </w:rPr>
      </w:pPr>
      <w:r w:rsidRPr="006B04FC">
        <w:rPr>
          <w:rFonts w:ascii="Times New Roman" w:eastAsia="Times New Roman" w:hAnsi="Times New Roman" w:cs="Times New Roman"/>
          <w:b/>
          <w:bCs/>
          <w:sz w:val="28"/>
          <w:szCs w:val="28"/>
          <w:lang w:eastAsia="hr-HR"/>
        </w:rPr>
        <w:t>9. Zaključak</w:t>
      </w:r>
    </w:p>
    <w:p w:rsidR="007C5261" w:rsidRPr="007C5261" w:rsidRDefault="007C5261" w:rsidP="007C5261">
      <w:pPr>
        <w:spacing w:before="100" w:beforeAutospacing="1" w:after="100" w:afterAutospacing="1" w:line="360" w:lineRule="auto"/>
        <w:jc w:val="both"/>
        <w:rPr>
          <w:rFonts w:ascii="Times New Roman" w:eastAsia="Times New Roman" w:hAnsi="Times New Roman" w:cs="Times New Roman"/>
          <w:sz w:val="24"/>
          <w:szCs w:val="24"/>
          <w:lang w:eastAsia="hr-HR"/>
        </w:rPr>
      </w:pPr>
      <w:r w:rsidRPr="007C5261">
        <w:rPr>
          <w:rFonts w:ascii="Times New Roman" w:eastAsia="Times New Roman" w:hAnsi="Times New Roman" w:cs="Times New Roman"/>
          <w:sz w:val="24"/>
          <w:szCs w:val="24"/>
          <w:lang w:eastAsia="hr-HR"/>
        </w:rPr>
        <w:t xml:space="preserve">Izrađeni rebalans Financijskog plana za 2025. godinu za Osnovnu školu „Franjo </w:t>
      </w:r>
      <w:proofErr w:type="spellStart"/>
      <w:r w:rsidRPr="007C5261">
        <w:rPr>
          <w:rFonts w:ascii="Times New Roman" w:eastAsia="Times New Roman" w:hAnsi="Times New Roman" w:cs="Times New Roman"/>
          <w:sz w:val="24"/>
          <w:szCs w:val="24"/>
          <w:lang w:eastAsia="hr-HR"/>
        </w:rPr>
        <w:t>Hanaman</w:t>
      </w:r>
      <w:proofErr w:type="spellEnd"/>
      <w:r w:rsidRPr="007C5261">
        <w:rPr>
          <w:rFonts w:ascii="Times New Roman" w:eastAsia="Times New Roman" w:hAnsi="Times New Roman" w:cs="Times New Roman"/>
          <w:sz w:val="24"/>
          <w:szCs w:val="24"/>
          <w:lang w:eastAsia="hr-HR"/>
        </w:rPr>
        <w:t xml:space="preserve">“ </w:t>
      </w:r>
      <w:proofErr w:type="spellStart"/>
      <w:r w:rsidRPr="007C5261">
        <w:rPr>
          <w:rFonts w:ascii="Times New Roman" w:eastAsia="Times New Roman" w:hAnsi="Times New Roman" w:cs="Times New Roman"/>
          <w:sz w:val="24"/>
          <w:szCs w:val="24"/>
          <w:lang w:eastAsia="hr-HR"/>
        </w:rPr>
        <w:t>Drenovci</w:t>
      </w:r>
      <w:proofErr w:type="spellEnd"/>
      <w:r w:rsidRPr="007C5261">
        <w:rPr>
          <w:rFonts w:ascii="Times New Roman" w:eastAsia="Times New Roman" w:hAnsi="Times New Roman" w:cs="Times New Roman"/>
          <w:sz w:val="24"/>
          <w:szCs w:val="24"/>
          <w:lang w:eastAsia="hr-HR"/>
        </w:rPr>
        <w:t xml:space="preserve"> osigurava usklađivanje prihoda i rashoda s realnim potrebama i izvršenjem u tekućoj godini. Rebalans je izrađen s ciljem očuvanja kvalitete odgojno-obrazovnog rada, provođenja eksperimentalnog programa Cjelodnevne škole, osiguranja prehrane učenika te provedbe projekata i održavanja infrastrukturnih ciljeva. Prijedlog rebalansa daje osnovu za zakonito i transparentno postupanje te omogućava upravljanje financijskim rizicima koji se očekuju do kraja fiskalne godine.</w:t>
      </w:r>
    </w:p>
    <w:p w:rsidR="001F27E1" w:rsidRDefault="001F27E1" w:rsidP="001F27E1">
      <w:pPr>
        <w:spacing w:after="0" w:line="360" w:lineRule="auto"/>
        <w:outlineLvl w:val="0"/>
        <w:rPr>
          <w:rFonts w:ascii="Times New Roman" w:eastAsia="Times New Roman" w:hAnsi="Times New Roman" w:cs="Times New Roman"/>
          <w:sz w:val="24"/>
          <w:szCs w:val="24"/>
          <w:lang w:eastAsia="hr-HR"/>
        </w:rPr>
      </w:pPr>
    </w:p>
    <w:p w:rsidR="001F27E1" w:rsidRDefault="001F27E1" w:rsidP="001F27E1">
      <w:pPr>
        <w:spacing w:after="0" w:line="360" w:lineRule="auto"/>
        <w:outlineLvl w:val="0"/>
        <w:rPr>
          <w:rFonts w:ascii="Times New Roman" w:eastAsia="Times New Roman" w:hAnsi="Times New Roman" w:cs="Times New Roman"/>
          <w:sz w:val="24"/>
          <w:szCs w:val="24"/>
          <w:lang w:eastAsia="hr-HR"/>
        </w:rPr>
      </w:pPr>
    </w:p>
    <w:p w:rsidR="00FC3D2C" w:rsidRDefault="00FC3D2C" w:rsidP="001F27E1">
      <w:pPr>
        <w:spacing w:after="0" w:line="360" w:lineRule="auto"/>
        <w:outlineLvl w:val="0"/>
        <w:rPr>
          <w:rFonts w:ascii="Times New Roman" w:eastAsia="Times New Roman" w:hAnsi="Times New Roman" w:cs="Times New Roman"/>
          <w:sz w:val="24"/>
          <w:szCs w:val="24"/>
          <w:lang w:eastAsia="hr-HR"/>
        </w:rPr>
      </w:pPr>
    </w:p>
    <w:p w:rsidR="00FC3D2C" w:rsidRDefault="00FC3D2C"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lastRenderedPageBreak/>
        <w:t xml:space="preserve">U </w:t>
      </w:r>
      <w:proofErr w:type="spellStart"/>
      <w:r w:rsidRPr="001F27E1">
        <w:rPr>
          <w:rFonts w:ascii="Times New Roman" w:eastAsia="Times New Roman" w:hAnsi="Times New Roman" w:cs="Times New Roman"/>
          <w:sz w:val="24"/>
          <w:szCs w:val="24"/>
          <w:lang w:eastAsia="hr-HR"/>
        </w:rPr>
        <w:t>Drenovcima</w:t>
      </w:r>
      <w:proofErr w:type="spellEnd"/>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3</w:t>
      </w:r>
      <w:r w:rsidRPr="001F27E1">
        <w:rPr>
          <w:rFonts w:ascii="Times New Roman" w:eastAsia="Times New Roman" w:hAnsi="Times New Roman" w:cs="Times New Roman"/>
          <w:sz w:val="24"/>
          <w:szCs w:val="24"/>
          <w:lang w:eastAsia="hr-HR"/>
        </w:rPr>
        <w:t>. prosinca 202</w:t>
      </w:r>
      <w:r>
        <w:rPr>
          <w:rFonts w:ascii="Times New Roman" w:eastAsia="Times New Roman" w:hAnsi="Times New Roman" w:cs="Times New Roman"/>
          <w:sz w:val="24"/>
          <w:szCs w:val="24"/>
          <w:lang w:eastAsia="hr-HR"/>
        </w:rPr>
        <w:t>5</w:t>
      </w:r>
      <w:r w:rsidRPr="001F27E1">
        <w:rPr>
          <w:rFonts w:ascii="Times New Roman" w:eastAsia="Times New Roman" w:hAnsi="Times New Roman" w:cs="Times New Roman"/>
          <w:sz w:val="24"/>
          <w:szCs w:val="24"/>
          <w:lang w:eastAsia="hr-HR"/>
        </w:rPr>
        <w:t xml:space="preserve">. godine                                   </w:t>
      </w: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Voditelj računovodstva</w:t>
      </w: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Ravnateljica:</w:t>
      </w:r>
      <w:r w:rsidRPr="001F27E1">
        <w:rPr>
          <w:rFonts w:ascii="Times New Roman" w:eastAsia="Times New Roman" w:hAnsi="Times New Roman" w:cs="Times New Roman"/>
          <w:sz w:val="24"/>
          <w:szCs w:val="24"/>
          <w:lang w:eastAsia="hr-HR"/>
        </w:rPr>
        <w:t xml:space="preserve"> </w:t>
      </w:r>
    </w:p>
    <w:p w:rsidR="001F27E1" w:rsidRPr="001F27E1" w:rsidRDefault="001F27E1" w:rsidP="001F27E1">
      <w:pPr>
        <w:spacing w:after="0" w:line="360" w:lineRule="auto"/>
        <w:outlineLvl w:val="0"/>
        <w:rPr>
          <w:rFonts w:ascii="Times New Roman" w:eastAsia="Times New Roman" w:hAnsi="Times New Roman" w:cs="Times New Roman"/>
          <w:sz w:val="24"/>
          <w:szCs w:val="24"/>
          <w:lang w:eastAsia="hr-HR"/>
        </w:rPr>
      </w:pPr>
      <w:r w:rsidRPr="001F27E1">
        <w:rPr>
          <w:rFonts w:ascii="Times New Roman" w:eastAsia="Times New Roman" w:hAnsi="Times New Roman" w:cs="Times New Roman"/>
          <w:sz w:val="24"/>
          <w:szCs w:val="24"/>
          <w:lang w:eastAsia="hr-HR"/>
        </w:rPr>
        <w:t xml:space="preserve"> ___</w:t>
      </w:r>
      <w:r>
        <w:rPr>
          <w:rFonts w:ascii="Times New Roman" w:eastAsia="Times New Roman" w:hAnsi="Times New Roman" w:cs="Times New Roman"/>
          <w:sz w:val="24"/>
          <w:szCs w:val="24"/>
          <w:lang w:eastAsia="hr-HR"/>
        </w:rPr>
        <w:t>__________</w:t>
      </w:r>
      <w:r w:rsidRPr="001F27E1">
        <w:rPr>
          <w:rFonts w:ascii="Times New Roman" w:eastAsia="Times New Roman" w:hAnsi="Times New Roman" w:cs="Times New Roman"/>
          <w:sz w:val="24"/>
          <w:szCs w:val="24"/>
          <w:lang w:eastAsia="hr-HR"/>
        </w:rPr>
        <w:t>__</w:t>
      </w:r>
      <w:r>
        <w:rPr>
          <w:rFonts w:ascii="Times New Roman" w:eastAsia="Times New Roman" w:hAnsi="Times New Roman" w:cs="Times New Roman"/>
          <w:sz w:val="24"/>
          <w:szCs w:val="24"/>
          <w:lang w:eastAsia="hr-HR"/>
        </w:rPr>
        <w:t>________</w:t>
      </w:r>
      <w:r w:rsidRPr="001F27E1">
        <w:rPr>
          <w:rFonts w:ascii="Times New Roman" w:eastAsia="Times New Roman" w:hAnsi="Times New Roman" w:cs="Times New Roman"/>
          <w:sz w:val="24"/>
          <w:szCs w:val="24"/>
          <w:lang w:eastAsia="hr-HR"/>
        </w:rPr>
        <w:t xml:space="preserve">                            MP.    </w:t>
      </w:r>
      <w:r>
        <w:rPr>
          <w:rFonts w:ascii="Times New Roman" w:eastAsia="Times New Roman" w:hAnsi="Times New Roman" w:cs="Times New Roman"/>
          <w:sz w:val="24"/>
          <w:szCs w:val="24"/>
          <w:lang w:eastAsia="hr-HR"/>
        </w:rPr>
        <w:t xml:space="preserve">          </w:t>
      </w:r>
      <w:r w:rsidRPr="001F27E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1F27E1">
        <w:rPr>
          <w:rFonts w:ascii="Times New Roman" w:eastAsia="Times New Roman" w:hAnsi="Times New Roman" w:cs="Times New Roman"/>
          <w:sz w:val="24"/>
          <w:szCs w:val="24"/>
          <w:lang w:eastAsia="hr-HR"/>
        </w:rPr>
        <w:t>___________________</w:t>
      </w:r>
      <w:r>
        <w:rPr>
          <w:rFonts w:ascii="Times New Roman" w:eastAsia="Times New Roman" w:hAnsi="Times New Roman" w:cs="Times New Roman"/>
          <w:sz w:val="24"/>
          <w:szCs w:val="24"/>
          <w:lang w:eastAsia="hr-HR"/>
        </w:rPr>
        <w:t>___</w:t>
      </w:r>
      <w:r w:rsidRPr="001F27E1">
        <w:rPr>
          <w:rFonts w:ascii="Times New Roman" w:eastAsia="Times New Roman" w:hAnsi="Times New Roman" w:cs="Times New Roman"/>
          <w:sz w:val="24"/>
          <w:szCs w:val="24"/>
          <w:lang w:eastAsia="hr-HR"/>
        </w:rPr>
        <w:t xml:space="preserve">                                     </w:t>
      </w:r>
    </w:p>
    <w:p w:rsidR="001F27E1" w:rsidRPr="001F27E1" w:rsidRDefault="00D268FC" w:rsidP="001F27E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bookmarkStart w:id="0" w:name="_GoBack"/>
      <w:bookmarkEnd w:id="0"/>
      <w:r w:rsidR="001F27E1" w:rsidRP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Mirzeta</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De</w:t>
      </w:r>
      <w:r>
        <w:rPr>
          <w:rFonts w:ascii="Times New Roman" w:eastAsia="Times New Roman" w:hAnsi="Times New Roman" w:cs="Times New Roman"/>
          <w:sz w:val="24"/>
          <w:szCs w:val="24"/>
          <w:lang w:eastAsia="hr-HR"/>
        </w:rPr>
        <w:t>r</w:t>
      </w:r>
      <w:r w:rsidR="001F27E1">
        <w:rPr>
          <w:rFonts w:ascii="Times New Roman" w:eastAsia="Times New Roman" w:hAnsi="Times New Roman" w:cs="Times New Roman"/>
          <w:sz w:val="24"/>
          <w:szCs w:val="24"/>
          <w:lang w:eastAsia="hr-HR"/>
        </w:rPr>
        <w:t>onjić</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dipl.oec</w:t>
      </w:r>
      <w:proofErr w:type="spellEnd"/>
      <w:r w:rsidR="001F27E1">
        <w:rPr>
          <w:rFonts w:ascii="Times New Roman" w:eastAsia="Times New Roman" w:hAnsi="Times New Roman" w:cs="Times New Roman"/>
          <w:sz w:val="24"/>
          <w:szCs w:val="24"/>
          <w:lang w:eastAsia="hr-HR"/>
        </w:rPr>
        <w:t xml:space="preserve">                                                       Marijana Raguž, </w:t>
      </w:r>
      <w:proofErr w:type="spellStart"/>
      <w:r w:rsidR="001F27E1">
        <w:rPr>
          <w:rFonts w:ascii="Times New Roman" w:eastAsia="Times New Roman" w:hAnsi="Times New Roman" w:cs="Times New Roman"/>
          <w:sz w:val="24"/>
          <w:szCs w:val="24"/>
          <w:lang w:eastAsia="hr-HR"/>
        </w:rPr>
        <w:t>mag.prim</w:t>
      </w:r>
      <w:proofErr w:type="spellEnd"/>
      <w:r w:rsidR="001F27E1">
        <w:rPr>
          <w:rFonts w:ascii="Times New Roman" w:eastAsia="Times New Roman" w:hAnsi="Times New Roman" w:cs="Times New Roman"/>
          <w:sz w:val="24"/>
          <w:szCs w:val="24"/>
          <w:lang w:eastAsia="hr-HR"/>
        </w:rPr>
        <w:t xml:space="preserve"> </w:t>
      </w:r>
      <w:proofErr w:type="spellStart"/>
      <w:r w:rsidR="001F27E1">
        <w:rPr>
          <w:rFonts w:ascii="Times New Roman" w:eastAsia="Times New Roman" w:hAnsi="Times New Roman" w:cs="Times New Roman"/>
          <w:sz w:val="24"/>
          <w:szCs w:val="24"/>
          <w:lang w:eastAsia="hr-HR"/>
        </w:rPr>
        <w:t>edu</w:t>
      </w:r>
      <w:proofErr w:type="spellEnd"/>
    </w:p>
    <w:p w:rsidR="001B6CB2" w:rsidRPr="007C5261" w:rsidRDefault="001B6CB2" w:rsidP="007C5261">
      <w:pPr>
        <w:spacing w:line="360" w:lineRule="auto"/>
        <w:jc w:val="both"/>
        <w:rPr>
          <w:rFonts w:ascii="Times New Roman" w:hAnsi="Times New Roman" w:cs="Times New Roman"/>
          <w:sz w:val="24"/>
          <w:szCs w:val="24"/>
        </w:rPr>
      </w:pPr>
    </w:p>
    <w:sectPr w:rsidR="001B6CB2" w:rsidRPr="007C5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7492"/>
    <w:multiLevelType w:val="multilevel"/>
    <w:tmpl w:val="A7FA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84728"/>
    <w:multiLevelType w:val="multilevel"/>
    <w:tmpl w:val="380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D3802"/>
    <w:multiLevelType w:val="multilevel"/>
    <w:tmpl w:val="D29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15139"/>
    <w:multiLevelType w:val="multilevel"/>
    <w:tmpl w:val="5920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A8527F"/>
    <w:multiLevelType w:val="multilevel"/>
    <w:tmpl w:val="0C3A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61"/>
    <w:rsid w:val="00152FE4"/>
    <w:rsid w:val="001B6CB2"/>
    <w:rsid w:val="001C74BF"/>
    <w:rsid w:val="001F27E1"/>
    <w:rsid w:val="0031256B"/>
    <w:rsid w:val="006A58B0"/>
    <w:rsid w:val="006B04FC"/>
    <w:rsid w:val="007C5261"/>
    <w:rsid w:val="0082259E"/>
    <w:rsid w:val="009C6041"/>
    <w:rsid w:val="00D268FC"/>
    <w:rsid w:val="00D84A4C"/>
    <w:rsid w:val="00FC2DF5"/>
    <w:rsid w:val="00FC3D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31FC"/>
  <w15:chartTrackingRefBased/>
  <w15:docId w15:val="{1E833BA2-C9ED-4F16-ADB4-E13B2C7E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84A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84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4833">
      <w:bodyDiv w:val="1"/>
      <w:marLeft w:val="0"/>
      <w:marRight w:val="0"/>
      <w:marTop w:val="0"/>
      <w:marBottom w:val="0"/>
      <w:divBdr>
        <w:top w:val="none" w:sz="0" w:space="0" w:color="auto"/>
        <w:left w:val="none" w:sz="0" w:space="0" w:color="auto"/>
        <w:bottom w:val="none" w:sz="0" w:space="0" w:color="auto"/>
        <w:right w:val="none" w:sz="0" w:space="0" w:color="auto"/>
      </w:divBdr>
    </w:div>
    <w:div w:id="57292450">
      <w:bodyDiv w:val="1"/>
      <w:marLeft w:val="0"/>
      <w:marRight w:val="0"/>
      <w:marTop w:val="0"/>
      <w:marBottom w:val="0"/>
      <w:divBdr>
        <w:top w:val="none" w:sz="0" w:space="0" w:color="auto"/>
        <w:left w:val="none" w:sz="0" w:space="0" w:color="auto"/>
        <w:bottom w:val="none" w:sz="0" w:space="0" w:color="auto"/>
        <w:right w:val="none" w:sz="0" w:space="0" w:color="auto"/>
      </w:divBdr>
    </w:div>
    <w:div w:id="625745888">
      <w:bodyDiv w:val="1"/>
      <w:marLeft w:val="0"/>
      <w:marRight w:val="0"/>
      <w:marTop w:val="0"/>
      <w:marBottom w:val="0"/>
      <w:divBdr>
        <w:top w:val="none" w:sz="0" w:space="0" w:color="auto"/>
        <w:left w:val="none" w:sz="0" w:space="0" w:color="auto"/>
        <w:bottom w:val="none" w:sz="0" w:space="0" w:color="auto"/>
        <w:right w:val="none" w:sz="0" w:space="0" w:color="auto"/>
      </w:divBdr>
    </w:div>
    <w:div w:id="783891264">
      <w:bodyDiv w:val="1"/>
      <w:marLeft w:val="0"/>
      <w:marRight w:val="0"/>
      <w:marTop w:val="0"/>
      <w:marBottom w:val="0"/>
      <w:divBdr>
        <w:top w:val="none" w:sz="0" w:space="0" w:color="auto"/>
        <w:left w:val="none" w:sz="0" w:space="0" w:color="auto"/>
        <w:bottom w:val="none" w:sz="0" w:space="0" w:color="auto"/>
        <w:right w:val="none" w:sz="0" w:space="0" w:color="auto"/>
      </w:divBdr>
    </w:div>
    <w:div w:id="1100949704">
      <w:bodyDiv w:val="1"/>
      <w:marLeft w:val="0"/>
      <w:marRight w:val="0"/>
      <w:marTop w:val="0"/>
      <w:marBottom w:val="0"/>
      <w:divBdr>
        <w:top w:val="none" w:sz="0" w:space="0" w:color="auto"/>
        <w:left w:val="none" w:sz="0" w:space="0" w:color="auto"/>
        <w:bottom w:val="none" w:sz="0" w:space="0" w:color="auto"/>
        <w:right w:val="none" w:sz="0" w:space="0" w:color="auto"/>
      </w:divBdr>
    </w:div>
    <w:div w:id="1191072712">
      <w:bodyDiv w:val="1"/>
      <w:marLeft w:val="0"/>
      <w:marRight w:val="0"/>
      <w:marTop w:val="0"/>
      <w:marBottom w:val="0"/>
      <w:divBdr>
        <w:top w:val="none" w:sz="0" w:space="0" w:color="auto"/>
        <w:left w:val="none" w:sz="0" w:space="0" w:color="auto"/>
        <w:bottom w:val="none" w:sz="0" w:space="0" w:color="auto"/>
        <w:right w:val="none" w:sz="0" w:space="0" w:color="auto"/>
      </w:divBdr>
    </w:div>
    <w:div w:id="1201094015">
      <w:bodyDiv w:val="1"/>
      <w:marLeft w:val="0"/>
      <w:marRight w:val="0"/>
      <w:marTop w:val="0"/>
      <w:marBottom w:val="0"/>
      <w:divBdr>
        <w:top w:val="none" w:sz="0" w:space="0" w:color="auto"/>
        <w:left w:val="none" w:sz="0" w:space="0" w:color="auto"/>
        <w:bottom w:val="none" w:sz="0" w:space="0" w:color="auto"/>
        <w:right w:val="none" w:sz="0" w:space="0" w:color="auto"/>
      </w:divBdr>
    </w:div>
    <w:div w:id="1435251099">
      <w:bodyDiv w:val="1"/>
      <w:marLeft w:val="0"/>
      <w:marRight w:val="0"/>
      <w:marTop w:val="0"/>
      <w:marBottom w:val="0"/>
      <w:divBdr>
        <w:top w:val="none" w:sz="0" w:space="0" w:color="auto"/>
        <w:left w:val="none" w:sz="0" w:space="0" w:color="auto"/>
        <w:bottom w:val="none" w:sz="0" w:space="0" w:color="auto"/>
        <w:right w:val="none" w:sz="0" w:space="0" w:color="auto"/>
      </w:divBdr>
    </w:div>
    <w:div w:id="1486238465">
      <w:bodyDiv w:val="1"/>
      <w:marLeft w:val="0"/>
      <w:marRight w:val="0"/>
      <w:marTop w:val="0"/>
      <w:marBottom w:val="0"/>
      <w:divBdr>
        <w:top w:val="none" w:sz="0" w:space="0" w:color="auto"/>
        <w:left w:val="none" w:sz="0" w:space="0" w:color="auto"/>
        <w:bottom w:val="none" w:sz="0" w:space="0" w:color="auto"/>
        <w:right w:val="none" w:sz="0" w:space="0" w:color="auto"/>
      </w:divBdr>
    </w:div>
    <w:div w:id="1516066810">
      <w:bodyDiv w:val="1"/>
      <w:marLeft w:val="0"/>
      <w:marRight w:val="0"/>
      <w:marTop w:val="0"/>
      <w:marBottom w:val="0"/>
      <w:divBdr>
        <w:top w:val="none" w:sz="0" w:space="0" w:color="auto"/>
        <w:left w:val="none" w:sz="0" w:space="0" w:color="auto"/>
        <w:bottom w:val="none" w:sz="0" w:space="0" w:color="auto"/>
        <w:right w:val="none" w:sz="0" w:space="0" w:color="auto"/>
      </w:divBdr>
    </w:div>
    <w:div w:id="1841770046">
      <w:bodyDiv w:val="1"/>
      <w:marLeft w:val="0"/>
      <w:marRight w:val="0"/>
      <w:marTop w:val="0"/>
      <w:marBottom w:val="0"/>
      <w:divBdr>
        <w:top w:val="none" w:sz="0" w:space="0" w:color="auto"/>
        <w:left w:val="none" w:sz="0" w:space="0" w:color="auto"/>
        <w:bottom w:val="none" w:sz="0" w:space="0" w:color="auto"/>
        <w:right w:val="none" w:sz="0" w:space="0" w:color="auto"/>
      </w:divBdr>
    </w:div>
    <w:div w:id="1968119371">
      <w:bodyDiv w:val="1"/>
      <w:marLeft w:val="0"/>
      <w:marRight w:val="0"/>
      <w:marTop w:val="0"/>
      <w:marBottom w:val="0"/>
      <w:divBdr>
        <w:top w:val="none" w:sz="0" w:space="0" w:color="auto"/>
        <w:left w:val="none" w:sz="0" w:space="0" w:color="auto"/>
        <w:bottom w:val="none" w:sz="0" w:space="0" w:color="auto"/>
        <w:right w:val="none" w:sz="0" w:space="0" w:color="auto"/>
      </w:divBdr>
    </w:div>
    <w:div w:id="21053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604E-E8A3-4A3A-AEBC-54C89829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3290</Words>
  <Characters>18754</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2025-12-04T23:31:00Z</dcterms:created>
  <dcterms:modified xsi:type="dcterms:W3CDTF">2025-12-05T09:27:00Z</dcterms:modified>
</cp:coreProperties>
</file>