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5389bd823bf449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10292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Franjo Hanaman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1.427.487,45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1.172.734,39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1.038.665,46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1.253.572,10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80.837,71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325.986,01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49.608,36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325.986,01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49.608,36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130.446,07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U sklopu daljnjeg razvoja nastavnog i obrazovnog sustava, Osnovna škola Franjo Hanaman Drenovci i u izvještajnom razdoblju I–XII 2025. godine aktivno je sudjelovala u eksperimentalnom programu </w:t>
      </w:r>
      <w:r>
        <w:rPr>
          <w:b/>
        </w:rPr>
        <w:t xml:space="preserve">Cjelodnevne škole (CDŠ)</w:t>
      </w:r>
      <w:r>
        <w:t xml:space="preserve">, koji provodi Ministarstvo znanosti, obrazovanja i mladih. </w:t>
      </w:r>
    </w:p>
    <w:p>
      <w:pPr>
        <w:jc w:val="both"/>
      </w:pPr>
      <w:r>
        <w:t xml:space="preserve">Provedba programa imala je utjecaj na strukturu prihoda i rashoda, osobito u dijelu rashoda za zaposlene, materijalnih rashoda te nabave nefinancijske imovine.</w:t>
      </w:r>
    </w:p>
    <w:p>
      <w:pPr>
        <w:jc w:val="both"/>
      </w:pPr>
      <w:r>
        <w:t xml:space="preserve">U razdoblju od 1. siječnja do 31. prosinca 2025. godine ostvareni su ukupni prihodi poslovanja u iznosu od </w:t>
      </w:r>
      <w:r>
        <w:rPr>
          <w:b/>
        </w:rPr>
        <w:t xml:space="preserve">1.172.734,39 EUR</w:t>
      </w:r>
      <w:r>
        <w:t xml:space="preserve">. U odnosu na prethodnu godinu zabilježeno je smanjenje prihoda zbog neostvarivanja tekućih prijenosa između proračunskih korisnika istog proračuna, koji su u prethodnoj godini bili evidentirani u okviru završenog STEM projekta.</w:t>
      </w:r>
    </w:p>
    <w:p>
      <w:pPr>
        <w:jc w:val="both"/>
      </w:pPr>
      <w:r>
        <w:t xml:space="preserve">Ukupni rashodi poslovanja ostvareni su u iznosu od </w:t>
      </w:r>
      <w:r>
        <w:rPr>
          <w:b/>
        </w:rPr>
        <w:t xml:space="preserve">1.253.572,10 EUR</w:t>
      </w:r>
      <w:r>
        <w:t xml:space="preserve">, čime je iskazan manjak prihoda poslovanja u iznosu od </w:t>
      </w:r>
      <w:r>
        <w:rPr>
          <w:b/>
        </w:rPr>
        <w:t xml:space="preserve">80.837,71 EUR</w:t>
      </w:r>
      <w:r>
        <w:t xml:space="preserve">. Povećanje rashoda rezultat je nastavka i proširenja aktivnosti u okviru programa Cjelodnevne škole te povećanja rashoda za zaposlene uslijed rasta plaća.</w:t>
      </w:r>
    </w:p>
    <w:p>
      <w:pPr>
        <w:jc w:val="both"/>
      </w:pPr>
      <w:r>
        <w:t xml:space="preserve">Rashodi za nabavu nefinancijske imovine ostvareni su u iznosu od </w:t>
      </w:r>
      <w:r>
        <w:rPr>
          <w:b/>
        </w:rPr>
        <w:t xml:space="preserve">49.608,36 EUR. </w:t>
      </w:r>
      <w:r>
        <w:t xml:space="preserve"> </w:t>
      </w:r>
    </w:p>
    <w:p>
      <w:pPr>
        <w:jc w:val="both"/>
      </w:pPr>
      <w:r>
        <w:t xml:space="preserve">Rashodi se odnose na nabavu opreme za provedbu </w:t>
      </w:r>
      <w:r>
        <w:rPr>
          <w:b/>
        </w:rPr>
        <w:t xml:space="preserve">B1 aktivnosti</w:t>
      </w:r>
      <w:r>
        <w:t xml:space="preserve"> u sklopu CDŠ-a (uredski namještaj, sportska oprema, glazbeni instrumenti i ostala oprema potrebna za izvođenje nastave).</w:t>
      </w:r>
    </w:p>
    <w:p>
      <w:pPr>
        <w:jc w:val="both"/>
      </w:pPr>
      <w:r>
        <w:t xml:space="preserve">Tijekom izvještajnog razdoblja nisu ostvareni primici ni izdaci po osnovi financijske imovine i zaduživanja.</w:t>
      </w:r>
    </w:p>
    <w:p>
      <w:pPr>
        <w:jc w:val="both"/>
      </w:pPr>
      <w:r>
        <w:t xml:space="preserve">Ukupni manjak prihoda i primitaka za razdoblje I–XII 2025. godine iznosi </w:t>
      </w:r>
      <w:r>
        <w:rPr>
          <w:b/>
        </w:rPr>
        <w:t xml:space="preserve">130.446,07 EUR</w:t>
      </w:r>
      <w:r>
        <w:t xml:space="preserve"> te je najvećim dijelom posljedica vremenskog nepodudaranja primitaka i rashoda, budući da su pojedina sredstva doznačena u prethodnoj godini, dok su rashodi realizirani u 2025. godini.</w:t>
      </w:r>
      <w:r>
        <w:br/>
      </w:r>
      <w:r>
        <w:t xml:space="preserve">Iskazani manjak ne upućuje na nelikvidnost ustanove.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1.427.487,45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1.172.734,39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w:t>
            </w:r>
          </w:p>
        </w:tc>
      </w:tr>
    </w:tbl>
    <w:p>
      <w:pPr>
        <w:spacing w:before="0" w:after="0"/>
      </w:pPr>
    </w:p>
    <w:p>
      <w:pPr>
        <w:jc w:val="both"/>
      </w:pPr>
      <w:r>
        <w:t xml:space="preserve">U razdoblju od </w:t>
      </w:r>
      <w:r>
        <w:rPr>
          <w:b/>
        </w:rPr>
        <w:t xml:space="preserve">1. siječnja do 31. prosinca 2025.</w:t>
      </w:r>
      <w:r>
        <w:t xml:space="preserve"> godine prihodi poslovanja ostvareni su u iznosu od </w:t>
      </w:r>
      <w:r>
        <w:rPr>
          <w:b/>
        </w:rPr>
        <w:t xml:space="preserve">1.172.734,39 EUR</w:t>
      </w:r>
      <w:r>
        <w:t xml:space="preserve">, što predstavlja smanjenje od </w:t>
      </w:r>
      <w:r>
        <w:rPr>
          <w:b/>
        </w:rPr>
        <w:t xml:space="preserve">17,8 %</w:t>
      </w:r>
      <w:r>
        <w:t xml:space="preserve"> u odnosu na isto razdoblje prethodne godine, kada su ukupni prihodi iznosili </w:t>
      </w:r>
      <w:r>
        <w:rPr>
          <w:b/>
        </w:rPr>
        <w:t xml:space="preserve">1.427.487,45 EUR</w:t>
      </w:r>
      <w:r>
        <w:t xml:space="preserve">.</w:t>
      </w:r>
    </w:p>
    <w:p>
      <w:pPr>
        <w:jc w:val="both"/>
      </w:pPr>
      <w:r>
        <w:t xml:space="preserve">Razlog smanjenja prihoda je neostvarivanje tekućih prijenosa između proračunskih korisnika istog proračuna kao i pomoći od Ministarstva, koji su evidentirani u 2024. godini u okviru završetka STEM projekta i radova na zvjezdarnici.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62.357,32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w:t>
            </w:r>
          </w:p>
        </w:tc>
      </w:tr>
    </w:tbl>
    <w:p>
      <w:pPr>
        <w:spacing w:before="0" w:after="0"/>
      </w:pPr>
    </w:p>
    <w:p>
      <w:pPr>
        <w:jc w:val="both"/>
      </w:pPr>
      <w:r>
        <w:t xml:space="preserve">U razdoblju od 1. siječnja do 31. prosinca 2025. godine stavka </w:t>
      </w:r>
      <w:r>
        <w:rPr>
          <w:b/>
        </w:rPr>
        <w:t xml:space="preserve">6362 – Kapitalne pomoći proračunskim korisnicima iz proračuna koji im nije nadležan </w:t>
      </w:r>
      <w:r>
        <w:t xml:space="preserve">u 2024. godini iznosi </w:t>
      </w:r>
      <w:r>
        <w:rPr>
          <w:b/>
        </w:rPr>
        <w:t xml:space="preserve">62.357,32 €</w:t>
      </w:r>
      <w:r>
        <w:t xml:space="preserve">, što predstavlja znatno povećanje u odnosu na tekuću godinu, a rezultat je jednokratna uplata Ministarstva u iznosu od </w:t>
      </w:r>
      <w:r>
        <w:rPr>
          <w:b/>
        </w:rPr>
        <w:t xml:space="preserve">60.000 €</w:t>
      </w:r>
      <w:r>
        <w:t xml:space="preserve"> namijenjene financiranju zvjezdarnice. U 2025. godini navedena stavka iznosi  samo </w:t>
      </w:r>
      <w:r>
        <w:rPr>
          <w:b/>
        </w:rPr>
        <w:t xml:space="preserve">3.020,03 €</w:t>
      </w:r>
      <w:r>
        <w:t xml:space="preserve"> (4,8 %) te se odnosi na kapitalna ulaganja u obveznu lektiru za 2025. godinu i udžbenike koji se koriste tijekom više godina.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U razdoblju od 1. siječnja do 31. prosinca 2025. godine stavka </w:t>
      </w:r>
      <w:r>
        <w:rPr>
          <w:b/>
        </w:rPr>
        <w:t xml:space="preserve">638 – Pomoći temeljem prijenosa EU sredstava (šifre 6381 + 6382)</w:t>
      </w:r>
      <w:r>
        <w:t xml:space="preserve"> u iznosu od </w:t>
      </w:r>
      <w:r>
        <w:rPr>
          <w:b/>
        </w:rPr>
        <w:t xml:space="preserve">1.039,64 €</w:t>
      </w:r>
      <w:r>
        <w:t xml:space="preserve"> odnosi se na sredstva dodijeljena za provedbu programa Školske sheme voća i mlijeka, koji se provodi prema Nacionalnoj strategiji za provedbu Školske sheme voća i povrća te mlijeka i mliječnih proizvoda od školske godine 2023./2024. do 2028./2029. kao dio zajedničkih politika Europske unije i Republike Hrvatske. Ovaj program financira se iz sredstava Europske unije s ciljem poticanja zdravih prehrambenih navika djece kroz distribuciju voća, povrća i mlijeka u školama, uz podršku pratećih obrazovnih aktivnosti.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172.683,95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Prihodi od prijenosa između proračunskih korisnika istog proračuna u tekućoj godini nisu ostvareni zbog završetka STEM projekta u 2024. godini.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pPr>
        <w:jc w:val="both"/>
      </w:pPr>
      <w:r>
        <w:t xml:space="preserve">U razdoblju od 1. siječnja do 31. prosinca 2025. godine stavka  </w:t>
      </w:r>
      <w:r>
        <w:rPr>
          <w:b/>
        </w:rPr>
        <w:t xml:space="preserve">6526 – Ostali nespomenuti prihodi</w:t>
      </w:r>
      <w:r>
        <w:t xml:space="preserve">  iznosi </w:t>
      </w:r>
      <w:r>
        <w:rPr>
          <w:b/>
        </w:rPr>
        <w:t xml:space="preserve">297,96 €</w:t>
      </w:r>
      <w:r>
        <w:t xml:space="preserve"> u tekućoj godini, što predstavlja povećanje od 17,3 % u odnosu na prethodnu godinu. Ovi prihodi odnose se na naknade za zemljište isplaćene od strane Agencije za plaćanje u poljoprivredi.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37.513,98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51.113,32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136,3</w:t>
            </w:r>
          </w:p>
        </w:tc>
      </w:tr>
    </w:tbl>
    <w:p>
      <w:pPr>
        <w:spacing w:before="0" w:after="0"/>
      </w:pPr>
    </w:p>
    <w:p>
      <w:pPr>
        <w:jc w:val="both"/>
      </w:pPr>
      <w:r>
        <w:t xml:space="preserve">U razdoblju od 1. siječnja do 30. rujna 2025. Osnovna škola "Franjo Hanaman" Drenovci ostvarila je ukupno </w:t>
      </w:r>
      <w:r>
        <w:rPr>
          <w:b/>
        </w:rPr>
        <w:t xml:space="preserve">51.113,32 €</w:t>
      </w:r>
      <w:r>
        <w:t xml:space="preserve"> prihoda iz nadležnog proračuna, što predstavlja povećanje od </w:t>
      </w:r>
      <w:r>
        <w:rPr>
          <w:b/>
        </w:rPr>
        <w:t xml:space="preserve">36,3 %</w:t>
      </w:r>
      <w:r>
        <w:t xml:space="preserve"> u odnosu na prethodnu godinu.</w:t>
      </w:r>
    </w:p>
    <w:p>
      <w:pPr>
        <w:jc w:val="both"/>
      </w:pPr>
      <w:r>
        <w:t xml:space="preserve">Povećanje prihoda rezultat je dodatnog financiranja od strane Vukovarsko-srijemske županije, namijenjenog pokriću troškova povećanja električne snage objekta škole, kako bi škola mogla adekvatno odgovoriti na tehničke i programske zahtjeve, osobito u kontekstu provođenja eksperimentalnih programa poput CDŠ škole (Cjelodnevne škole). Ukupan iznos povećanja, 10.347,65 €, osiguran je kroz stavku 6711 jer se knjiži kao tekući rashod u okviru poslovanja, budući da se ne nabavlja imovina, već se izvodi prilagodba postojećih instalacija. Ovim sredstvima pokrivene su prilagodbe postojećih instalacija, što osigurava dugoročnu stabilnost u korištenju električne energije i tehničku spremnost za daljnji razvoj kapaciteta.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49.182,75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13.316,17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w:t>
            </w:r>
          </w:p>
        </w:tc>
      </w:tr>
    </w:tbl>
    <w:p>
      <w:pPr>
        <w:spacing w:before="0" w:after="0"/>
      </w:pPr>
    </w:p>
    <w:p>
      <w:pPr>
        <w:jc w:val="both"/>
      </w:pPr>
      <w:r>
        <w:t xml:space="preserve">U razdoblju od 1. siječnja do 31. prosinca 2025. godine ostvareno je </w:t>
      </w:r>
      <w:r>
        <w:rPr>
          <w:b/>
        </w:rPr>
        <w:t xml:space="preserve">13.316,17 € </w:t>
      </w:r>
      <w:r>
        <w:t xml:space="preserve">na</w:t>
      </w:r>
      <w:r>
        <w:rPr>
          <w:b/>
        </w:rPr>
        <w:t xml:space="preserve">6712 – Prihodi za nabavu nefinancijske imovine. </w:t>
      </w:r>
      <w:r>
        <w:t xml:space="preserve">Sredstva su namjenski korištena za kapitalna ulaganja u projekt izgradnje i opremanja školske zvjezdarnice, koji je ključna razvojna investicija škole i usklađen je s ciljevima modernizacije nastave te promicanja STEM područja među učenicima. Tijekom 2025. godine isplaćen je preostali dio troškova, podmirujući posljednje račune dobavljača i izvođača, čime su zatvorene sve financijske obveze povezane s ovom investicijom.</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677.079,41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818.739,69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120,9</w:t>
            </w:r>
          </w:p>
        </w:tc>
      </w:tr>
    </w:tbl>
    <w:p>
      <w:pPr>
        <w:spacing w:before="0" w:after="0"/>
      </w:pPr>
    </w:p>
    <w:p>
      <w:pPr>
        <w:jc w:val="both"/>
      </w:pPr>
      <w:r>
        <w:t xml:space="preserve">U razdoblju od 1. siječnja do 31. prosinca 2025. godine, rashodi na stavci </w:t>
      </w:r>
      <w:r>
        <w:rPr>
          <w:b/>
        </w:rPr>
        <w:t xml:space="preserve">3111 – Plaće za redovan rad</w:t>
      </w:r>
      <w:r>
        <w:t xml:space="preserve"> iznose </w:t>
      </w:r>
      <w:r>
        <w:rPr>
          <w:b/>
        </w:rPr>
        <w:t xml:space="preserve">818.739,69 €</w:t>
      </w:r>
      <w:r>
        <w:t xml:space="preserve">, što predstavlja povećanje od </w:t>
      </w:r>
      <w:r>
        <w:rPr>
          <w:b/>
        </w:rPr>
        <w:t xml:space="preserve">20,9 %</w:t>
      </w:r>
      <w:r>
        <w:t xml:space="preserve"> u odnosu na prethodnu godinu (677.079,41 €). Glavni razlog rasta plaća u 2025. godini je promjena osnovice za obračun plaća u javnim službama prema kolektivnom ugovoru, pri čemu je osnovica tijekom godine povećana dva puta za po 3 %. Povećanje plaća odražava usklađivanje s nacionalnim propisima i kolektivnim ugovorom, osiguravajući kontinuiranu motivaciju i stabilnost zaposlenika u redovnom radu škole.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143,9</w:t>
            </w:r>
          </w:p>
        </w:tc>
      </w:tr>
    </w:tbl>
    <w:p>
      <w:pPr>
        <w:spacing w:before="0" w:after="0"/>
      </w:pPr>
    </w:p>
    <w:p>
      <w:r>
        <w:t xml:space="preserve">U razdoblju od 1. siječnja do 31. prosinca 2025. godine rashodi na stavci </w:t>
      </w:r>
      <w:r>
        <w:rPr>
          <w:b/>
        </w:rPr>
        <w:t xml:space="preserve">3113 – Plaće za prekovremeni</w:t>
      </w:r>
      <w:r>
        <w:t xml:space="preserve"> rad iznose </w:t>
      </w:r>
      <w:r>
        <w:rPr>
          <w:b/>
        </w:rPr>
        <w:t xml:space="preserve">6.907,04 €</w:t>
      </w:r>
      <w:r>
        <w:t xml:space="preserve">, što predstavlja porast od 43,9 % u odnosu na prethodnu godinu (4.800,88 €). Povećanje rashoda rezultat je većeg broja zamjena zaposlenika, najčešće zbog bolovanja.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113.452,69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136.660,12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pPr>
        <w:jc w:val="both"/>
      </w:pPr>
      <w:r>
        <w:t xml:space="preserve">U razdoblju od 1. siječnja do 31. prosinca 2025. godine, rashodi na stavci </w:t>
      </w:r>
      <w:r>
        <w:rPr>
          <w:b/>
        </w:rPr>
        <w:t xml:space="preserve">3132 – Doprinosi za obvezno zdravstveno osiguranje</w:t>
      </w:r>
      <w:r>
        <w:t xml:space="preserve"> iznose </w:t>
      </w:r>
      <w:r>
        <w:rPr>
          <w:b/>
        </w:rPr>
        <w:t xml:space="preserve">136.660,12 €</w:t>
      </w:r>
      <w:r>
        <w:t xml:space="preserve">, što predstavlja povećanje od 20,5 % u odnosu na prethodnu godinu (113.452,69 €). Porast doprinosa rezultat je rasta osnovice plaća, koja je u 2025. godini dva puta povećana.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173,7</w:t>
            </w:r>
          </w:p>
        </w:tc>
      </w:tr>
    </w:tbl>
    <w:p>
      <w:pPr>
        <w:spacing w:before="0" w:after="0"/>
      </w:pPr>
    </w:p>
    <w:p>
      <w:pPr>
        <w:jc w:val="both"/>
      </w:pPr>
      <w:r>
        <w:t xml:space="preserve">U razdoblju od 1. siječnja do 31. prosinca 2025. godine rashodi na stavci </w:t>
      </w:r>
      <w:r>
        <w:rPr>
          <w:b/>
        </w:rPr>
        <w:t xml:space="preserve">3213 – Stručno usavršavanje zaposlenika</w:t>
      </w:r>
      <w:r>
        <w:t xml:space="preserve"> iznose </w:t>
      </w:r>
      <w:r>
        <w:rPr>
          <w:b/>
        </w:rPr>
        <w:t xml:space="preserve">2.281,84 €</w:t>
      </w:r>
      <w:r>
        <w:t xml:space="preserve">, što predstavlja porast od </w:t>
      </w:r>
      <w:r>
        <w:rPr>
          <w:b/>
        </w:rPr>
        <w:t xml:space="preserve">73,7 %</w:t>
      </w:r>
      <w:r>
        <w:t xml:space="preserve"> u odnosu na prethodnu godinu (1.313,85 €). Povećanje rashoda rezultat je većeg broja stručnih skupova i edukacija tijekom godine, ponajprije u okviru provedbe programa CDŠ (Cjelodnevna škola), s ciljem unaprjeđenja stručnih kompetencija zaposlenika i kvalitetne provedbe novih nastavnih i organizacijskih modela.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10.366,62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229,6</w:t>
            </w:r>
          </w:p>
        </w:tc>
      </w:tr>
    </w:tbl>
    <w:p>
      <w:pPr>
        <w:spacing w:before="0" w:after="0"/>
      </w:pPr>
    </w:p>
    <w:p>
      <w:pPr>
        <w:jc w:val="both"/>
      </w:pPr>
      <w:r>
        <w:t xml:space="preserve">U razdoblju od 1. siječnja do 31. prosinca 2025. godine, rashodi na stavci </w:t>
      </w:r>
      <w:r>
        <w:rPr>
          <w:b/>
        </w:rPr>
        <w:t xml:space="preserve">3221 – Uredski materijal i ostali materijalni rashodi</w:t>
      </w:r>
      <w:r>
        <w:t xml:space="preserve"> iznose </w:t>
      </w:r>
      <w:r>
        <w:rPr>
          <w:b/>
        </w:rPr>
        <w:t xml:space="preserve">10.366,62 €</w:t>
      </w:r>
      <w:r>
        <w:t xml:space="preserve">, što predstavlja porast od </w:t>
      </w:r>
      <w:r>
        <w:rPr>
          <w:b/>
        </w:rPr>
        <w:t xml:space="preserve">129,6%</w:t>
      </w:r>
      <w:r>
        <w:t xml:space="preserve"> u odnosu na iznos od 4.514,74 € u 2024. godini. Povećanje ovih rashoda rezultat je intenzivnije potrošnje materijala u sklopu B1 aktivnosti, koje je u 2025. godini bilo znatno veće nego prethodne godine, u skladu s proširenjem i aktivnijim provođenjem školskih programa.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133,8</w:t>
            </w:r>
          </w:p>
        </w:tc>
      </w:tr>
    </w:tbl>
    <w:p>
      <w:pPr>
        <w:spacing w:before="0" w:after="0"/>
      </w:pPr>
    </w:p>
    <w:p>
      <w:pPr>
        <w:jc w:val="both"/>
      </w:pPr>
      <w:r>
        <w:t xml:space="preserve">U razdoblju od 1. siječnja do 31. prosinca 2025. godine rashodi na stavci </w:t>
      </w:r>
      <w:r>
        <w:rPr>
          <w:b/>
        </w:rPr>
        <w:t xml:space="preserve">3223 – Energija</w:t>
      </w:r>
      <w:r>
        <w:t xml:space="preserve"> iznose </w:t>
      </w:r>
      <w:r>
        <w:rPr>
          <w:b/>
        </w:rPr>
        <w:t xml:space="preserve">11.599,80 €</w:t>
      </w:r>
      <w:r>
        <w:t xml:space="preserve">, što predstavlja povećanje od </w:t>
      </w:r>
      <w:r>
        <w:rPr>
          <w:b/>
        </w:rPr>
        <w:t xml:space="preserve">33,8 %</w:t>
      </w:r>
      <w:r>
        <w:t xml:space="preserve"> u odnosu na prethodnu godinu (8.666,60 €). Povećanje troškova energije posljedica je proširenja opsega rada školskih sadržaja, uključujući rad školske zvjezdarnice, koji zahtijeva dodatnu potrošnju električne energije zbog nove opreme i tehničkih instalacija, kao i puštanja u rad novog ventilacijskog sustava uređenog u okviru provedbe programa Cjelodnevne škole (CDŠ). Navedeni sustav, uz provedbu infrastrukturnih i održavnih aktivnosti povezanih s CDŠ-om, značajno je utjecao na ukupnu potrošnju električne energije tijekom godine.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245,8</w:t>
            </w:r>
          </w:p>
        </w:tc>
      </w:tr>
    </w:tbl>
    <w:p>
      <w:pPr>
        <w:spacing w:before="0" w:after="0"/>
      </w:pPr>
    </w:p>
    <w:p>
      <w:pPr>
        <w:jc w:val="both"/>
      </w:pPr>
      <w:r>
        <w:t xml:space="preserve">U razdoblju od 1. siječnja do 31. prosinca 2025. godine, rashodi na stavci </w:t>
      </w:r>
      <w:r>
        <w:rPr>
          <w:b/>
        </w:rPr>
        <w:t xml:space="preserve">3225 – Sitni inventar i autogume</w:t>
      </w:r>
      <w:r>
        <w:t xml:space="preserve"> iznose </w:t>
      </w:r>
      <w:r>
        <w:rPr>
          <w:b/>
        </w:rPr>
        <w:t xml:space="preserve">4.401,53 €</w:t>
      </w:r>
      <w:r>
        <w:t xml:space="preserve">, što predstavlja povećanje od </w:t>
      </w:r>
      <w:r>
        <w:rPr>
          <w:b/>
        </w:rPr>
        <w:t xml:space="preserve">145,8 %</w:t>
      </w:r>
      <w:r>
        <w:t xml:space="preserve"> u odnosu na prethodnu godinu (1.791,06 €). Povećanje rashoda najvećim dijelom je rezultat nabave sitnog inventara u sklopu B1 aktivnosti.</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7.624,25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184,5</w:t>
            </w:r>
          </w:p>
        </w:tc>
      </w:tr>
    </w:tbl>
    <w:p>
      <w:pPr>
        <w:spacing w:before="0" w:after="0"/>
      </w:pPr>
    </w:p>
    <w:p>
      <w:pPr>
        <w:jc w:val="both"/>
      </w:pPr>
      <w:r>
        <w:t xml:space="preserve">U razdoblju od 1. siječnja do 31. prosinca 2025. godine, rashodi na stavci </w:t>
      </w:r>
      <w:r>
        <w:rPr>
          <w:b/>
        </w:rPr>
        <w:t xml:space="preserve">3231 – Usluge telefona, interneta, pošte i prijevoza</w:t>
      </w:r>
      <w:r>
        <w:t xml:space="preserve"> iznose </w:t>
      </w:r>
      <w:r>
        <w:rPr>
          <w:b/>
        </w:rPr>
        <w:t xml:space="preserve">7.624,25 €</w:t>
      </w:r>
      <w:r>
        <w:t xml:space="preserve">, što predstavlja povećanje od </w:t>
      </w:r>
      <w:r>
        <w:rPr>
          <w:b/>
        </w:rPr>
        <w:t xml:space="preserve">84,5 %</w:t>
      </w:r>
      <w:r>
        <w:t xml:space="preserve"> u odnosu na prethodnu godinu (4.132,46 €). Najveći dio povećanja odnosi se na troškove prijevoza, nastale zbog realizacije većeg broja izleta i terenskih aktivnosti u sklopu B1 aktivnosti te Malih Darovnica, čime se osigurala provedba planiranih odgojno-obrazovnih i izvannastavnih sadržaja.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30.591,29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290,7</w:t>
            </w:r>
          </w:p>
        </w:tc>
      </w:tr>
    </w:tbl>
    <w:p>
      <w:pPr>
        <w:spacing w:before="0" w:after="0"/>
      </w:pPr>
    </w:p>
    <w:p>
      <w:pPr>
        <w:jc w:val="both"/>
      </w:pPr>
      <w:r>
        <w:t xml:space="preserve">U razdoblju od 1. siječnja do 31. prosinca 2025. godine, rashodi na stavci 3</w:t>
      </w:r>
      <w:r>
        <w:rPr>
          <w:b/>
        </w:rPr>
        <w:t xml:space="preserve">232 – Usluge tekućeg i investicijskog održavanj</w:t>
      </w:r>
      <w:r>
        <w:t xml:space="preserve">a iznose </w:t>
      </w:r>
      <w:r>
        <w:rPr>
          <w:b/>
        </w:rPr>
        <w:t xml:space="preserve">30.591,29 €</w:t>
      </w:r>
      <w:r>
        <w:t xml:space="preserve">, što predstavlja značajan porast od </w:t>
      </w:r>
      <w:r>
        <w:rPr>
          <w:b/>
        </w:rPr>
        <w:t xml:space="preserve">190,7 %</w:t>
      </w:r>
      <w:r>
        <w:t xml:space="preserve"> u odnosu na prethodnu godinu (10.521,54 €). Povećanje rashoda rezultat je povećanja snage električne instalacije škole, kao i izvođenja dodatnih radova tekućeg i investicijskog održavanja, uključujući obnovu metalnih ograda, pripremu betonske podloge za šupu u kojoj će biti smještena keramička peć, popravke školskih klupa, kao i redovne servise opreme i infrastrukture, s ciljem osiguravanja sigurnosti, funkcionalnosti i dugoročne održivosti školskih prostora.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33.019,53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69.722,73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211,2</w:t>
            </w:r>
          </w:p>
        </w:tc>
      </w:tr>
    </w:tbl>
    <w:p>
      <w:pPr>
        <w:spacing w:before="0" w:after="0"/>
      </w:pPr>
    </w:p>
    <w:p>
      <w:pPr>
        <w:jc w:val="both"/>
      </w:pPr>
      <w:r>
        <w:t xml:space="preserve">U razdoblju od 1. siječnja do 31. prosinca 2025. godine, rashodi na stavci </w:t>
      </w:r>
      <w:r>
        <w:rPr>
          <w:b/>
        </w:rPr>
        <w:t xml:space="preserve">3237 – Intelektualne i osobne</w:t>
      </w:r>
      <w:r>
        <w:t xml:space="preserve"> usluge iznose </w:t>
      </w:r>
      <w:r>
        <w:rPr>
          <w:b/>
        </w:rPr>
        <w:t xml:space="preserve">69.722,73 €</w:t>
      </w:r>
      <w:r>
        <w:t xml:space="preserve">, što predstavlja povećanje od </w:t>
      </w:r>
      <w:r>
        <w:rPr>
          <w:b/>
        </w:rPr>
        <w:t xml:space="preserve">111,2 %</w:t>
      </w:r>
      <w:r>
        <w:t xml:space="preserve"> u odnosu na prethodnu godinu (33.019,53 €). Povećanje rashoda rezultat je značajno većeg broja B2 aktivnosti u sklopu programa Cjelodnevne škole (CDŠ), koje uključuju angažman vanjskih suradnika i stručnjaka radi provedbe dodatnih odgojno-obrazovnih, kulturnih i razvojnih programa za učenike.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244,0</w:t>
            </w:r>
          </w:p>
        </w:tc>
      </w:tr>
    </w:tbl>
    <w:p>
      <w:pPr>
        <w:spacing w:before="0" w:after="0"/>
      </w:pPr>
    </w:p>
    <w:p>
      <w:pPr>
        <w:jc w:val="both"/>
      </w:pPr>
      <w:r>
        <w:t xml:space="preserve">U razdoblju od 1. siječnja do 30. rujna 2025. godine na stavci </w:t>
      </w:r>
      <w:r>
        <w:rPr>
          <w:b/>
        </w:rPr>
        <w:t xml:space="preserve">3292 – Premije osiguranja</w:t>
      </w:r>
      <w:r>
        <w:t xml:space="preserve"> ostvareni su rashodi u iznosu od </w:t>
      </w:r>
      <w:r>
        <w:rPr>
          <w:b/>
        </w:rPr>
        <w:t xml:space="preserve">1.632,16 €</w:t>
      </w:r>
      <w:r>
        <w:t xml:space="preserve">, što predstavlja povećanje od 144 % u odnosu na prethodno razdoblje, kada su rashodi iznosili 668,98 €.</w:t>
      </w:r>
    </w:p>
    <w:p>
      <w:pPr>
        <w:jc w:val="both"/>
      </w:pPr>
      <w:r>
        <w:t xml:space="preserve">Povećanje rashoda rezultat je proširenja osiguravateljskog pokrića, koje sada osim školske zgrade uključuje i zvjezdarnicu te pripadajuće prostore, što je dovelo do značajnog rasta ukupnih izdataka za premije osiguranja.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1914,5</w:t>
            </w:r>
          </w:p>
        </w:tc>
      </w:tr>
    </w:tbl>
    <w:p>
      <w:pPr>
        <w:spacing w:before="0" w:after="0"/>
      </w:pPr>
    </w:p>
    <w:p>
      <w:pPr>
        <w:jc w:val="both"/>
      </w:pPr>
      <w:r>
        <w:t xml:space="preserve">U razdoblju od 1. siječnja do 31. prosinca 2025. godine, rashodi na stavci </w:t>
      </w:r>
      <w:r>
        <w:rPr>
          <w:b/>
        </w:rPr>
        <w:t xml:space="preserve">3293 – Reprezentacija </w:t>
      </w:r>
      <w:r>
        <w:t xml:space="preserve">iznose </w:t>
      </w:r>
      <w:r>
        <w:rPr>
          <w:b/>
        </w:rPr>
        <w:t xml:space="preserve">6.401,65 €</w:t>
      </w:r>
      <w:r>
        <w:t xml:space="preserve">, što predstavlja značajan porast u odnosu na prethodnu godinu (334,38 €). Povećanje rashoda rezultat je intenzivnijih aktivnosti u okviru programa Cjelodnevne škole (CDŠ), uključujući organizaciju posjeta partnerskim školama, provedbu informativnih dana, edukativnih aktivnosti te radionica, pri čemu je najveći dio rashoda ostvaren u sklopu programa „Male darovnice“ CDŠ. Rashodi se odnose na nabavu hrane, pića i ostalih materijala potrebnih za provedbu navedenih aktivnosti s učenicima, roditeljima i partnerskim ustanovama.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26.330,56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24.198,34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91,9</w:t>
            </w:r>
          </w:p>
        </w:tc>
      </w:tr>
    </w:tbl>
    <w:p>
      <w:pPr>
        <w:spacing w:before="0" w:after="0"/>
      </w:pPr>
    </w:p>
    <w:p>
      <w:pPr>
        <w:jc w:val="both"/>
      </w:pPr>
      <w:r>
        <w:t xml:space="preserve">U razdoblju od 1. siječnja do 31. prosinca 2025. godine, rashodi na stavci </w:t>
      </w:r>
      <w:r>
        <w:rPr>
          <w:b/>
        </w:rPr>
        <w:t xml:space="preserve">3722 – Naknade građanima i kućanstvima</w:t>
      </w:r>
      <w:r>
        <w:t xml:space="preserve"> u naravi iznose </w:t>
      </w:r>
      <w:r>
        <w:rPr>
          <w:b/>
        </w:rPr>
        <w:t xml:space="preserve">24.198,34 €</w:t>
      </w:r>
      <w:r>
        <w:t xml:space="preserve">, što predstavlja blago smanjenje od 8,1 % u odnosu na prethodnu godinu (26.330,56 €). Smanjenje rashoda rezultat je manje nabave udžbenika i drugih obrazovnih materijala, što je posljedica smanjenog broja učenika u odnosu na prethodnu godinu.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1.038.665,46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1.253.572,10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w:t>
            </w:r>
          </w:p>
        </w:tc>
      </w:tr>
    </w:tbl>
    <w:p>
      <w:pPr>
        <w:spacing w:before="0" w:after="0"/>
      </w:pPr>
    </w:p>
    <w:p>
      <w:pPr>
        <w:jc w:val="both"/>
      </w:pPr>
      <w:r>
        <w:t xml:space="preserve">U razdoblju od 1. siječnja do 31. prosinca 2025. godine, ukupni rashodi poslovanja iznose </w:t>
      </w:r>
      <w:r>
        <w:rPr>
          <w:b/>
        </w:rPr>
        <w:t xml:space="preserve">1.253.572,10 €</w:t>
      </w:r>
      <w:r>
        <w:t xml:space="preserve">, što predstavlja povećanje od 20,7 % u odnosu na prethodnu godinu, kada su iznosili </w:t>
      </w:r>
      <w:r>
        <w:rPr>
          <w:b/>
        </w:rPr>
        <w:t xml:space="preserve">1.038.665,46 €</w:t>
      </w:r>
      <w:r>
        <w:t xml:space="preserve">.</w:t>
      </w:r>
    </w:p>
    <w:p>
      <w:pPr>
        <w:jc w:val="both"/>
      </w:pPr>
      <w:r>
        <w:t xml:space="preserve">Povećanje rashoda poslovanja rezultat je više kumulativnih čimbenika, među kojima se ističu rast bruto plaća i pripadajućih doprinosa, proširenje aktivnosti u okviru programa Cjelodnevne škole (CDŠ) koje je dovelo do povećanja materijalnih rashoda, intelektualnih i osobnih usluga, reprezentacije te ostalih troškova povezanih s provedbom programa. </w:t>
      </w:r>
    </w:p>
    <w:p>
      <w:pPr>
        <w:jc w:val="both"/>
      </w:pPr>
      <w:r>
        <w:t xml:space="preserve">Nadalje, zabilježeni su veći izdaci za energiju i usluge održavanja, osobito u kontekstu puštanja u rad školske zvjezdarnice, novog ventilacijskog sustava i povećanja kapaciteta škole, kao i rast ugovornih i administrativnih obveza, uključujući osiguranje, naknade za osobe s invaliditetom i druge zakonske pristojbe.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85.405,77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U razdoblju od 01. siječnja do 31. prosinca u 2025. godini na stavci </w:t>
      </w:r>
      <w:r>
        <w:rPr>
          <w:b/>
        </w:rPr>
        <w:t xml:space="preserve">96 </w:t>
      </w:r>
      <w:r>
        <w:t xml:space="preserve">evidentirani su obračunati, ali nenaplaćeni prihodi poslovanja u iznosu od </w:t>
      </w:r>
      <w:r>
        <w:rPr>
          <w:b/>
        </w:rPr>
        <w:t xml:space="preserve">85.405,77 €</w:t>
      </w:r>
      <w:r>
        <w:t xml:space="preserve">, dok u prethodnom razdoblju  ta stavka nije bila iskazana (0,00 €).  Ova promjena rezultat je primjene novog računskog plana, koji propisuje obvezu evidencije prihoda po obračunskom načelu, neovisno o njihovoj naplati. U prethodnom razdoblju takva praksa nije bila primjenjivana, što je razlog izostanka iskazanih iznosa za 2024. godinu.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325.986,01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49.608,36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w:t>
            </w:r>
          </w:p>
        </w:tc>
      </w:tr>
    </w:tbl>
    <w:p>
      <w:pPr>
        <w:spacing w:before="0" w:after="0"/>
      </w:pPr>
    </w:p>
    <w:p>
      <w:pPr>
        <w:jc w:val="both"/>
      </w:pPr>
      <w:r>
        <w:t xml:space="preserve">U razdoblju od 1. siječnja do 31. prosinca 2025. godine rashodi za nabavu nefinancijske imovine iznosili su </w:t>
      </w:r>
      <w:r>
        <w:rPr>
          <w:b/>
        </w:rPr>
        <w:t xml:space="preserve">49.608,36 €</w:t>
      </w:r>
      <w:r>
        <w:t xml:space="preserve">, što predstavlja smanjenje od 84,80 % u odnosu na prethodno razdoblje, kada su rashodi iznosili </w:t>
      </w:r>
      <w:r>
        <w:rPr>
          <w:b/>
        </w:rPr>
        <w:t xml:space="preserve">325.986,01 €</w:t>
      </w:r>
      <w:r>
        <w:t xml:space="preserve">.</w:t>
      </w:r>
    </w:p>
    <w:p>
      <w:pPr>
        <w:jc w:val="both"/>
      </w:pPr>
      <w:r>
        <w:t xml:space="preserve">Rast rashoda u 2024. godini bio je primarno rezultat plaćanja za izgradnju zvjezdarnice, dok se rashodi u 2025. godini uglavnom odnose na nabavu opreme.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119.294,84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153.705,88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w:t>
            </w:r>
          </w:p>
        </w:tc>
      </w:tr>
    </w:tbl>
    <w:p>
      <w:pPr>
        <w:spacing w:before="0" w:after="0"/>
      </w:pPr>
    </w:p>
    <w:p>
      <w:pPr>
        <w:jc w:val="both"/>
      </w:pPr>
      <w:r>
        <w:t xml:space="preserve">Povećanje rashoda na kontu </w:t>
      </w:r>
      <w:r>
        <w:rPr>
          <w:b/>
        </w:rPr>
        <w:t xml:space="preserve">0221 – Uredska oprema i namještaj</w:t>
      </w:r>
      <w:r>
        <w:t xml:space="preserve"> u 2025. godini rezultat je dodatnih ulaganja usmjerenih prvenstveno na poboljšanje uvjeta za provedbu aktivnosti unutar B1 i B2 aktivnosti  i osiguranje funkcionalnosti te podrške obrazovnim procesima.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108.648,71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36.299,50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w:t>
            </w:r>
          </w:p>
        </w:tc>
      </w:tr>
    </w:tbl>
    <w:p>
      <w:pPr>
        <w:spacing w:before="0" w:after="0"/>
      </w:pPr>
    </w:p>
    <w:p>
      <w:r>
        <w:t xml:space="preserve">Na dan 31. prosinca 2025., iznos potraživanja na kontu </w:t>
      </w:r>
      <w:r>
        <w:rPr>
          <w:b/>
        </w:rPr>
        <w:t xml:space="preserve">167</w:t>
      </w:r>
      <w:r>
        <w:t xml:space="preserve"> iznosi </w:t>
      </w:r>
      <w:r>
        <w:rPr>
          <w:b/>
        </w:rPr>
        <w:t xml:space="preserve">36.299,50 EUR</w:t>
      </w:r>
      <w:r>
        <w:t xml:space="preserve"> i predstavlja sredstva dostupna na našem podračunu riznice.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73.602,10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Konto </w:t>
      </w:r>
      <w:r>
        <w:rPr>
          <w:b/>
        </w:rPr>
        <w:t xml:space="preserve">193 – Kontinuirani rashodi budućih razdoblja</w:t>
      </w:r>
      <w:r>
        <w:t xml:space="preserve"> je ukinut s </w:t>
      </w:r>
      <w:r>
        <w:rPr>
          <w:b/>
        </w:rPr>
        <w:t xml:space="preserve">1. siječnja 2025</w:t>
      </w:r>
      <w:r>
        <w:t xml:space="preserve">. </w:t>
      </w:r>
      <w:r>
        <w:rPr>
          <w:b/>
        </w:rPr>
        <w:t xml:space="preserve">godine</w:t>
      </w:r>
      <w:r>
        <w:t xml:space="preserve"> primjenom novog Pravilnika o proračunskom računovodstvu i Računskom planu, jer se više ne koristi kao zasebna podskupina u kontnom okviru.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112.885,69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101.209,13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w:t>
            </w:r>
          </w:p>
        </w:tc>
      </w:tr>
    </w:tbl>
    <w:p>
      <w:pPr>
        <w:spacing w:before="0" w:after="0"/>
      </w:pPr>
    </w:p>
    <w:p>
      <w:pPr>
        <w:jc w:val="both"/>
      </w:pPr>
      <w:r>
        <w:t xml:space="preserve">Na kraju izvještajnog razdoblja, ukupne obveze  iznose </w:t>
      </w:r>
      <w:r>
        <w:rPr>
          <w:b/>
        </w:rPr>
        <w:t xml:space="preserve">101.209,13 EUR</w:t>
      </w:r>
      <w:r>
        <w:t xml:space="preserve">, što je smanjenje u odnosu na prethodnu godinu (112.885,69 EUR), pri čemu navedeni iznos uključuje sve dospjele i nedospjele obveze, a smanjenje odražava uredno podmirenje prethodnih obveza i učinkovito upravljanje likvidnošću ustanove.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69.930,16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-62.942,95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w:t>
            </w:r>
          </w:p>
        </w:tc>
      </w:tr>
    </w:tbl>
    <w:p>
      <w:pPr>
        <w:spacing w:before="0" w:after="0"/>
      </w:pPr>
    </w:p>
    <w:p>
      <w:pPr>
        <w:jc w:val="both"/>
      </w:pPr>
      <w:r>
        <w:t xml:space="preserve">Na dan 31. prosinca 2025., </w:t>
      </w:r>
      <w:r>
        <w:rPr>
          <w:b/>
        </w:rPr>
        <w:t xml:space="preserve">konto 922 – Višak/manjak prihoda</w:t>
      </w:r>
      <w:r>
        <w:t xml:space="preserve"> pokazuje negativan neto rezultat od </w:t>
      </w:r>
      <w:r>
        <w:rPr>
          <w:b/>
        </w:rPr>
        <w:t xml:space="preserve">−62.942,95 EUR</w:t>
      </w:r>
      <w:r>
        <w:t xml:space="preserve">, što je posljedica toga što manjak prihoda od nefinancijske imovine nadmašuje višak prihoda iz osnovne djelatnosti, dok redovni prihodi iz poslovanja ostaju stabilni. Dodatno, na manjak utječu dospjeli rashodi krajem godine, uključujući plaće za prosinac, naknade zaposlenih, ugovorne obveze i drugi dospjeli računi. Takvo stanje odražava uređeno i kontrolirano upravljanje financijama, pri čemu ustanova i dalje osigurava likvidnost i održivost svojih obrazovnih i projektnih aktivnosti, unatoč privremenom manjku na kontu viška/manjka prihoda.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1.364.651,47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1.303.180,46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w:t>
            </w:r>
          </w:p>
        </w:tc>
      </w:tr>
    </w:tbl>
    <w:p>
      <w:pPr>
        <w:spacing w:before="0" w:after="0"/>
      </w:pPr>
    </w:p>
    <w:p>
      <w:pPr>
        <w:jc w:val="both"/>
      </w:pPr>
      <w:r>
        <w:t xml:space="preserve">U razdoblju od 1. siječnja do 31. prosinca 2025., ukupni rashodi u okviru funkcije </w:t>
      </w:r>
      <w:r>
        <w:rPr>
          <w:b/>
        </w:rPr>
        <w:t xml:space="preserve">09 – Obrazovanje</w:t>
      </w:r>
      <w:r>
        <w:t xml:space="preserve"> iznosili su </w:t>
      </w:r>
      <w:r>
        <w:rPr>
          <w:b/>
        </w:rPr>
        <w:t xml:space="preserve">1.303.180,46 €</w:t>
      </w:r>
      <w:r>
        <w:t xml:space="preserve">, što predstavlja 95,5 % ostvarenja u odnosu na prethodnu godinu. Ova blaga smanjenost u odnosu  prethodnu godinu može se objasniti kombinacijom manjih rashoda u određenim podkategorijama te većom kontrolom operativnih troškova, dok su rashodi za ključne obrazovne aktivnosti ostali stabilni ili blago povećani.</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27.565,22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32.172,81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pPr>
        <w:jc w:val="both"/>
      </w:pPr>
      <w:r>
        <w:t xml:space="preserve">U razdoblju od siječnja do prosinca 2025. rashodi za </w:t>
      </w:r>
      <w:r>
        <w:rPr>
          <w:b/>
        </w:rPr>
        <w:t xml:space="preserve">0911 – Predškolsko obrazovanje</w:t>
      </w:r>
      <w:r>
        <w:t xml:space="preserve"> iznosili su </w:t>
      </w:r>
      <w:r>
        <w:rPr>
          <w:b/>
        </w:rPr>
        <w:t xml:space="preserve">32.172,81 €</w:t>
      </w:r>
      <w:r>
        <w:t xml:space="preserve">, što predstavlja povećanje od 16,7 % u odnosu na prethodnu godinu. Ovo povećanje je rezultat ulaganja u plaće i naknade zaposlenika, nabavu obrazovnih materijala te provođenje dodatnih aktivnosti i programa za unapređenje kvalitete predškolskog obrazovanja.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38.708,47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40.627,35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bl>
    <w:p>
      <w:pPr>
        <w:spacing w:before="0" w:after="0"/>
      </w:pPr>
    </w:p>
    <w:p>
      <w:pPr>
        <w:jc w:val="both"/>
      </w:pPr>
      <w:r>
        <w:t xml:space="preserve">U razdoblju od siječnja do prosinca 2025. rashodi za </w:t>
      </w:r>
      <w:r>
        <w:rPr>
          <w:b/>
        </w:rPr>
        <w:t xml:space="preserve">096 – Dodatne usluge u obrazovanju</w:t>
      </w:r>
      <w:r>
        <w:t xml:space="preserve"> iznosili su  </w:t>
      </w:r>
      <w:r>
        <w:rPr>
          <w:b/>
        </w:rPr>
        <w:t xml:space="preserve">40.627,35 €</w:t>
      </w:r>
      <w:r>
        <w:t xml:space="preserve">, što predstavlja 5,0 % više u odnosu na prethodnu godinu, a troškovi se odnose na školsku prehranu.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Tijekom predmetnog izvještajnog razdoblja nisu zabilježene nikakve promjene imovine koje bi zahtijevale evidentiranje u Obrascu P-VRIO. Budući da nije bilo revalorizacije, reklasifikacije, rashodovanja ili otuđenja imovine, obrazac se predaje u nepopunjenom obliku.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dospjelih obveza na kraju izvještajnog razdoblja, iskazano u obrascu PR-RAS pod šifrom </w:t>
      </w:r>
      <w:r>
        <w:rPr>
          <w:b/>
        </w:rPr>
        <w:t xml:space="preserve">V007</w:t>
      </w:r>
      <w:r>
        <w:t xml:space="preserve">, iznosi </w:t>
      </w:r>
      <w:r>
        <w:rPr>
          <w:b/>
        </w:rPr>
        <w:t xml:space="preserve">7.216,11 EUR</w:t>
      </w:r>
      <w:r>
        <w:t xml:space="preserve">.</w:t>
      </w:r>
    </w:p>
    <w:p>
      <w:pPr>
        <w:jc w:val="both"/>
      </w:pPr>
      <w:r>
        <w:t xml:space="preserve">Dospjele obveze u iznosu od 5.600,00 EUR odnose se na dospjele račune za provedbu </w:t>
      </w:r>
      <w:r>
        <w:rPr>
          <w:b/>
        </w:rPr>
        <w:t xml:space="preserve">B2 aktivnosti</w:t>
      </w:r>
      <w:r>
        <w:t xml:space="preserve"> u sklopu eksperimentalnog programa Cjelodnevne škole, za koje sredstva od Ministarstva znanosti, obrazovanja i mladih do dana sastavljanja financijskog izvještaja nisu doznačena.</w:t>
      </w:r>
    </w:p>
    <w:p>
      <w:pPr>
        <w:jc w:val="both"/>
      </w:pPr>
      <w:r>
        <w:t xml:space="preserve">Iznos od </w:t>
      </w:r>
      <w:r>
        <w:rPr>
          <w:b/>
        </w:rPr>
        <w:t xml:space="preserve">1.616,11 EUR</w:t>
      </w:r>
      <w:r>
        <w:t xml:space="preserve"> odnosi se na obveze vezane uz priznatu ozljedu na radu, pri čemu se </w:t>
      </w:r>
      <w:r>
        <w:rPr>
          <w:b/>
        </w:rPr>
        <w:t xml:space="preserve">767,56 EUR</w:t>
      </w:r>
      <w:r>
        <w:t xml:space="preserve"> odnosi na obveze za poreze, doprinose i obvezna osiguranja, koje će se podmiriti po provedbi postupka putem SNU obrasca u Poreznoj upravi.</w:t>
      </w:r>
    </w:p>
    <w:p>
      <w:pPr>
        <w:jc w:val="both"/>
      </w:pPr>
      <w:r>
        <w:t xml:space="preserve">Preostali dio dospjelih obveza odnosi se na:</w:t>
      </w:r>
    </w:p>
    <w:p>
      <w:pPr>
        <w:pStyle w:val="ListParagraph"/>
        <w:numPr>
          <w:ilvl w:val="0"/>
          <w:numId w:val="2"/>
        </w:numPr>
      </w:pPr>
      <w:r>
        <w:rPr>
          <w:b/>
        </w:rPr>
        <w:t xml:space="preserve">450,37 EUR</w:t>
      </w:r>
      <w:r>
        <w:t xml:space="preserve"> – predujam plaćen po računu za koji do kraja izvještajnog razdoblja nije zaprimljen e-Račun,</w:t>
      </w:r>
    </w:p>
    <w:p>
      <w:pPr>
        <w:pStyle w:val="ListParagraph"/>
        <w:numPr>
          <w:ilvl w:val="0"/>
          <w:numId w:val="2"/>
        </w:numPr>
      </w:pPr>
      <w:r>
        <w:rPr>
          <w:b/>
        </w:rPr>
        <w:t xml:space="preserve">398,18 EUR</w:t>
      </w:r>
      <w:r>
        <w:t xml:space="preserve"> – obveze po osnovi bolovanja za listopad 2025. godine, za koje se očekuje refundacija od Hrvatskog zavoda za zdravstveno osiguranje (HZZO).</w:t>
      </w:r>
    </w:p>
    <w:p>
      <w:pPr>
        <w:jc w:val="both"/>
      </w:pPr>
      <w:r>
        <w:t xml:space="preserve">Navedene dospjele obveze posljedica su administrativne i vremenske dinamike doznačavanja sredstava, obrade dokumentacije i refundacija te ne upućuju na poteškoće u likvidnosti ustanove.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U razdoblju od siječnja do prosinca 2025. godine, iznos od </w:t>
      </w:r>
      <w:r>
        <w:rPr>
          <w:b/>
        </w:rPr>
        <w:t xml:space="preserve">1.616,11 EUR</w:t>
      </w:r>
      <w:r>
        <w:t xml:space="preserve"> u okviru stavke </w:t>
      </w:r>
      <w:r>
        <w:rPr>
          <w:b/>
        </w:rPr>
        <w:t xml:space="preserve">27 – Obveze za predujmove, depozite, jamčevne pologe i tuđe prihode</w:t>
      </w:r>
      <w:r>
        <w:t xml:space="preserve"> odnosi se na različite dospjele obveze :</w:t>
      </w:r>
    </w:p>
    <w:p>
      <w:pPr>
        <w:pStyle w:val="ListParagraph"/>
        <w:numPr>
          <w:ilvl w:val="0"/>
          <w:numId w:val="2"/>
        </w:numPr>
        <w:jc w:val="both"/>
      </w:pPr>
      <w:r>
        <w:rPr>
          <w:b/>
        </w:rPr>
        <w:t xml:space="preserve">767,56 EUR</w:t>
      </w:r>
      <w:r>
        <w:t xml:space="preserve"> pokriva poreze, doprinose i obvezna osiguranja vezane uz priznatu ozljedu na radu, koje će se podmiriti putem SNU obrasca u Poreznoj upravi,</w:t>
      </w:r>
    </w:p>
    <w:p>
      <w:pPr>
        <w:pStyle w:val="ListParagraph"/>
        <w:numPr>
          <w:ilvl w:val="0"/>
          <w:numId w:val="2"/>
        </w:numPr>
        <w:jc w:val="both"/>
      </w:pPr>
      <w:r>
        <w:rPr>
          <w:b/>
        </w:rPr>
        <w:t xml:space="preserve">450,37 EUR</w:t>
      </w:r>
      <w:r>
        <w:t xml:space="preserve"> predstavlja predujam plaćen po računu za koji do kraja izvještajnog razdoblja nije zaprimljen e-Račun,</w:t>
      </w:r>
    </w:p>
    <w:p>
      <w:pPr>
        <w:pStyle w:val="ListParagraph"/>
        <w:numPr>
          <w:ilvl w:val="0"/>
          <w:numId w:val="2"/>
        </w:numPr>
        <w:jc w:val="both"/>
      </w:pPr>
      <w:r>
        <w:rPr>
          <w:b/>
        </w:rPr>
        <w:t xml:space="preserve">398,18 EUR</w:t>
      </w:r>
      <w:r>
        <w:t xml:space="preserve"> odnosi se na obveze po osnovi bolovanja za listopad 2025. godine, za koje se očekuje refundacija od HZZO-a.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93.993,02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Na kraju izvještajnog razdoblja, ukupne nedospjele obveze iznose </w:t>
      </w:r>
      <w:r>
        <w:rPr>
          <w:b/>
        </w:rPr>
        <w:t xml:space="preserve">93.993,02 EUR</w:t>
      </w:r>
      <w:r>
        <w:t xml:space="preserve">, pri čemu se od toga </w:t>
      </w:r>
      <w:r>
        <w:rPr>
          <w:b/>
        </w:rPr>
        <w:t xml:space="preserve">11.927,08 EUR</w:t>
      </w:r>
      <w:r>
        <w:t xml:space="preserve"> odnosi na nedospjele račune, </w:t>
      </w:r>
      <w:r>
        <w:rPr>
          <w:b/>
        </w:rPr>
        <w:t xml:space="preserve">78.447,74 EUR </w:t>
      </w:r>
      <w:r>
        <w:t xml:space="preserve">na plaće za prosinac, </w:t>
      </w:r>
      <w:r>
        <w:rPr>
          <w:b/>
        </w:rPr>
        <w:t xml:space="preserve">194,00 EUR</w:t>
      </w:r>
      <w:r>
        <w:t xml:space="preserve"> na naknadu za invalide, </w:t>
      </w:r>
      <w:r>
        <w:rPr>
          <w:b/>
        </w:rPr>
        <w:t xml:space="preserve">2.669,11 EUR</w:t>
      </w:r>
      <w:r>
        <w:t xml:space="preserve"> na naknade troškova zaposlenih, te </w:t>
      </w:r>
      <w:r>
        <w:rPr>
          <w:b/>
        </w:rPr>
        <w:t xml:space="preserve">755,09 EUR</w:t>
      </w:r>
      <w:r>
        <w:t xml:space="preserve"> na obveze po ugovorima odjelu, a navedeni iznosi odražavaju standardne administrativne i obračunske procedure priznavanja i podmirenja obveza te ne ukazuju na poteškoće u likvidnosti ustanove.</w:t>
      </w:r>
    </w:p>
    <w:p/>
    <w:p>
      <w:pPr>
        <w:jc w:val="center"/>
        <w:pStyle w:val="Normal"/>
        <w:spacing w:line="240" w:lineRule="auto"/>
        <w:keepNext/>
      </w:pPr>
      <w:r>
        <w:rPr>
          <w:sz w:val="28"/>
          <w:rFonts w:ascii="Times New Roman" w:hAnsi="Times New Roman"/>
        </w:rPr>
        <w:t xml:space="preserve">Bilješka 37.</w:t>
      </w:r>
    </w:p>
    <w:p>
      <w:pPr>
        <w:jc w:val="both"/>
        <w:pStyle w:val="Normal"/>
        <w:spacing w:line="240" w:lineRule="auto"/>
      </w:pPr>
      <w:r>
        <w:rPr>
          <w:b/>
          <w:sz w:val="24"/>
          <w:rFonts w:ascii="Times New Roman" w:hAnsi="Times New Roman"/>
        </w:rPr>
        <w:t xml:space="preserve">EU izvještaj</w:t>
      </w:r>
    </w:p>
    <w:p>
      <w:pPr>
        <w:jc w:val="both"/>
      </w:pPr>
      <w:r>
        <w:t xml:space="preserve">Osnovna škola Franjo Hanaman Drenovci dugi niz godina aktivno sudjeluje u </w:t>
      </w:r>
      <w:r>
        <w:rPr>
          <w:b/>
        </w:rPr>
        <w:t xml:space="preserve">Školskoj shemi voća, povrća, mlijeka i mliječnih proizvoda</w:t>
      </w:r>
      <w:r>
        <w:t xml:space="preserve">, koja se financira iz sredstava Europske unije i nacionalnog proračuna Republike Hrvatske. Program se provodi u skladu s važećim propisima Ministarstva znanosti, obrazovanja i mladih s ciljem promicanja zdravih prehrambenih navika učenika.</w:t>
      </w:r>
    </w:p>
    <w:p>
      <w:pPr>
        <w:jc w:val="both"/>
      </w:pPr>
      <w:r>
        <w:rPr>
          <w:b/>
        </w:rPr>
        <w:t xml:space="preserve">1. Europsko financiranje – 80 % (oznaka 510)</w:t>
      </w:r>
      <w:r>
        <w:br/>
      </w:r>
      <w:r>
        <w:t xml:space="preserve">Dio rashoda u visini 80 % ukupno prihvatljivih troškova financira se iz </w:t>
      </w:r>
      <w:r>
        <w:rPr>
          <w:b/>
        </w:rPr>
        <w:t xml:space="preserve">Europskog fonda za jamstva u poljoprivredi (EFJP).</w:t>
      </w:r>
      <w:r>
        <w:br/>
      </w:r>
      <w:r>
        <w:t xml:space="preserve">Ovaj iznos u EU izvještaju po izvorima financiranja iskazan je pod jedinstvenom oznakom </w:t>
      </w:r>
      <w:r>
        <w:rPr>
          <w:b/>
        </w:rPr>
        <w:t xml:space="preserve">510 – Programi Unije</w:t>
      </w:r>
      <w:r>
        <w:t xml:space="preserve">.</w:t>
      </w:r>
    </w:p>
    <w:p>
      <w:pPr>
        <w:jc w:val="both"/>
      </w:pPr>
      <w:r>
        <w:rPr>
          <w:b/>
        </w:rPr>
        <w:t xml:space="preserve">2. Nacionalno financiranje – 20 %</w:t>
      </w:r>
      <w:r>
        <w:br/>
      </w:r>
      <w:r>
        <w:t xml:space="preserve">Preostali dio rashoda u visini 20 % ukupnih troškova financira se iz Državnog proračuna Republike Hrvatske.</w:t>
      </w:r>
      <w:r>
        <w:br/>
      </w:r>
      <w:r>
        <w:t xml:space="preserve">Ovaj iznos:</w:t>
      </w:r>
    </w:p>
    <w:p>
      <w:pPr>
        <w:pStyle w:val="ListParagraph"/>
        <w:numPr>
          <w:ilvl w:val="0"/>
          <w:numId w:val="2"/>
        </w:numPr>
      </w:pPr>
      <w:r>
        <w:t xml:space="preserve">iskazuje se u izvještaju o nacionalnom financiranju,</w:t>
      </w:r>
    </w:p>
    <w:p>
      <w:pPr>
        <w:pStyle w:val="ListParagraph"/>
        <w:numPr>
          <w:ilvl w:val="0"/>
          <w:numId w:val="2"/>
        </w:numPr>
      </w:pPr>
      <w:r>
        <w:t xml:space="preserve">evidentira se kao prihod iz nacionalnih proračunskih sredstava,</w:t>
      </w:r>
    </w:p>
    <w:p>
      <w:pPr>
        <w:pStyle w:val="ListParagraph"/>
        <w:numPr>
          <w:ilvl w:val="0"/>
          <w:numId w:val="2"/>
        </w:numPr>
      </w:pPr>
      <w:r>
        <w:t xml:space="preserve">zajedno s EU dijelom čini ukupno 100 % financiranja rashoda na kontu 32224 – Namirnice.</w:t>
      </w:r>
    </w:p>
    <w:p>
      <w:pPr>
        <w:jc w:val="both"/>
      </w:pPr>
      <w:r>
        <w:t xml:space="preserve">Ukupni troškovi školske sheme evidentirani su na kontu </w:t>
      </w:r>
      <w:r>
        <w:rPr>
          <w:b/>
        </w:rPr>
        <w:t xml:space="preserve">32224- Namirnice</w:t>
      </w:r>
      <w:r>
        <w:t xml:space="preserve"> u iznosu od </w:t>
      </w:r>
      <w:r>
        <w:rPr>
          <w:b/>
        </w:rPr>
        <w:t xml:space="preserve">1.269,34 €</w:t>
      </w:r>
      <w:r>
        <w:t xml:space="preserve">. Od toga, EU doprinos iznosi </w:t>
      </w:r>
      <w:r>
        <w:rPr>
          <w:b/>
        </w:rPr>
        <w:t xml:space="preserve">1.015,47 €</w:t>
      </w:r>
      <w:r>
        <w:t xml:space="preserve">, dok nacionalno sufinanciranje pokriva 20% ili </w:t>
      </w:r>
      <w:r>
        <w:rPr>
          <w:b/>
        </w:rPr>
        <w:t xml:space="preserve">253,87 €</w:t>
      </w:r>
      <w:r>
        <w:t xml:space="preserve"> . </w:t>
      </w:r>
    </w:p>
    <w:p>
      <w:pPr>
        <w:jc w:val="both"/>
      </w:pPr>
      <w:r>
        <w:t xml:space="preserve">Prihodi ostvareni kroz EU sredstva iznose </w:t>
      </w:r>
      <w:r>
        <w:rPr>
          <w:b/>
        </w:rPr>
        <w:t xml:space="preserve">1.039,64 €</w:t>
      </w:r>
      <w:r>
        <w:t xml:space="preserve">, a 20% nacionalnog sufinanciranja iznosi </w:t>
      </w:r>
      <w:r>
        <w:rPr>
          <w:b/>
        </w:rPr>
        <w:t xml:space="preserve">259,91 €</w:t>
      </w:r>
      <w:r>
        <w:t xml:space="preserve"> . Evidentirani su na kontu </w:t>
      </w:r>
      <w:r>
        <w:rPr>
          <w:b/>
        </w:rPr>
        <w:t xml:space="preserve">63811-Tekuće pomoći iz državnog proračuna temeljem prijenosa EU sredstava. </w:t>
      </w:r>
    </w:p>
    <w:p>
      <w:pPr>
        <w:jc w:val="both"/>
      </w:pPr>
      <w:r>
        <w:t xml:space="preserve">Dodatno, imamo otvorena potraživanja za pomoći na kontima </w:t>
      </w:r>
      <w:r>
        <w:rPr>
          <w:b/>
        </w:rPr>
        <w:t xml:space="preserve">1638 / 9638</w:t>
      </w:r>
      <w:r>
        <w:t xml:space="preserve"> u ukupnom iznosu od </w:t>
      </w:r>
      <w:r>
        <w:rPr>
          <w:b/>
        </w:rPr>
        <w:t xml:space="preserve">276,70 €</w:t>
      </w:r>
      <w:r>
        <w:t xml:space="preserve"> , pri čemu EU dio iznosi </w:t>
      </w:r>
      <w:r>
        <w:rPr>
          <w:b/>
        </w:rPr>
        <w:t xml:space="preserve">221,36 €</w:t>
      </w:r>
      <w:r>
        <w:t xml:space="preserve">, a 20% u iznosi </w:t>
      </w:r>
      <w:r>
        <w:rPr>
          <w:b/>
        </w:rPr>
        <w:t xml:space="preserve">55,34 €</w:t>
      </w:r>
      <w:r>
        <w:t xml:space="preserve">. Otvorena potraživanja postoje jer prihod za račune iz studenog i prosinca još nije uplaćen, što se odnosi na početak sheme 2025./2026. godine.</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09dfb120c40a42b0" /><Relationship Type="http://schemas.openxmlformats.org/officeDocument/2006/relationships/numbering" Target="/word/numbering.xml" Id="R5af4262e736d4dba" /></Relationships>
</file>